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ABDAA">
      <w:pPr>
        <w:spacing w:before="120" w:after="288" w:afterLines="120" w:line="312" w:lineRule="auto"/>
        <w:ind w:firstLine="709"/>
        <w:jc w:val="center"/>
        <w:rPr>
          <w:rFonts w:ascii="Arial" w:hAnsi="Arial" w:cs="Arial"/>
          <w:bCs/>
          <w:color w:val="000000"/>
          <w:sz w:val="20"/>
          <w:szCs w:val="20"/>
        </w:rPr>
      </w:pPr>
      <w:r>
        <w:rPr>
          <w:rFonts w:ascii="Arial" w:hAnsi="Arial" w:cs="Arial"/>
          <w:color w:val="000000"/>
          <w:sz w:val="20"/>
          <w:szCs w:val="20"/>
        </w:rPr>
        <w:t>Processo Administrativo n</w:t>
      </w:r>
      <w:r>
        <w:rPr>
          <w:rFonts w:hint="default" w:ascii="Arial" w:hAnsi="Arial" w:cs="Arial"/>
          <w:color w:val="000000"/>
          <w:sz w:val="20"/>
          <w:szCs w:val="20"/>
          <w:lang w:val="pt-BR"/>
        </w:rPr>
        <w:t>. xxx/2025</w:t>
      </w:r>
    </w:p>
    <w:p w14:paraId="34BB0D75">
      <w:pPr>
        <w:pStyle w:val="28"/>
        <w:spacing w:after="288" w:afterLines="120" w:line="312" w:lineRule="auto"/>
        <w:ind w:right="-170"/>
        <w:rPr>
          <w:bCs w:val="0"/>
        </w:rPr>
      </w:pPr>
      <w:r>
        <w:rPr>
          <w:bCs w:val="0"/>
        </w:rPr>
        <w:t>CONTRATO ADMINISTRATIVO Nº ......../</w:t>
      </w:r>
      <w:r>
        <w:rPr>
          <w:rFonts w:hint="default"/>
          <w:bCs w:val="0"/>
          <w:lang w:val="pt-BR"/>
        </w:rPr>
        <w:t>2025</w:t>
      </w:r>
      <w:r>
        <w:rPr>
          <w:bCs w:val="0"/>
        </w:rPr>
        <w:t xml:space="preserve">, QUE FAZEM ENTRE SI A </w:t>
      </w:r>
      <w:r>
        <w:rPr>
          <w:rFonts w:ascii="Arial" w:hAnsi="Arial" w:eastAsia="Arial" w:cs="Arial"/>
          <w:b/>
          <w:bCs/>
          <w:sz w:val="20"/>
          <w:szCs w:val="20"/>
        </w:rPr>
        <w:t>CÂMARA MUNICIPAL DE FEIRA DE SANTANA</w:t>
      </w:r>
      <w:r>
        <w:rPr>
          <w:bCs w:val="0"/>
        </w:rPr>
        <w:t xml:space="preserve">, POR INTERMÉDIO DO (A) ......................................................... E ............................................................. </w:t>
      </w:r>
    </w:p>
    <w:p w14:paraId="03E072EF">
      <w:pPr>
        <w:spacing w:before="120" w:after="120" w:line="276" w:lineRule="auto"/>
        <w:ind w:firstLine="1418"/>
        <w:jc w:val="both"/>
        <w:rPr>
          <w:rFonts w:ascii="Arial" w:hAnsi="Arial" w:eastAsia="Arial" w:cs="Arial"/>
          <w:sz w:val="20"/>
          <w:szCs w:val="20"/>
        </w:rPr>
      </w:pPr>
      <w:r>
        <w:rPr>
          <w:rFonts w:ascii="Arial" w:hAnsi="Arial" w:eastAsia="Arial" w:cs="Arial"/>
          <w:b/>
          <w:bCs/>
          <w:sz w:val="20"/>
          <w:szCs w:val="20"/>
        </w:rPr>
        <w:t>CÂMARA MUNICIPAL DE FEIRA DE SANTANA</w:t>
      </w:r>
      <w:r>
        <w:rPr>
          <w:rFonts w:ascii="Arial" w:hAnsi="Arial" w:eastAsia="Arial" w:cs="Arial"/>
          <w:sz w:val="20"/>
          <w:szCs w:val="20"/>
        </w:rPr>
        <w:t xml:space="preserve">, pessoa jurídica de  direito público interno, sediada na Rua Visconde do Rio Banco,  122, nesta cidade, C.N.P.J (M.F.) 14.488.415/0001-60, neste  ato representado pelo Exm. Sr. Presidente Marcos Antonio Lima, doravante denominada CONTRATANTE, nos termos  da Lei n. 14.133/21, e a </w:t>
      </w:r>
      <w:r>
        <w:rPr>
          <w:rFonts w:ascii="Arial" w:hAnsi="Arial" w:eastAsia="Arial" w:cs="Arial"/>
          <w:color w:val="FF0000"/>
          <w:sz w:val="20"/>
          <w:szCs w:val="20"/>
        </w:rPr>
        <w:t>empresa</w:t>
      </w:r>
      <w:r>
        <w:rPr>
          <w:rFonts w:hint="default" w:ascii="Arial" w:hAnsi="Arial" w:eastAsia="Arial" w:cs="Arial"/>
          <w:color w:val="FF0000"/>
          <w:sz w:val="20"/>
          <w:szCs w:val="20"/>
          <w:lang w:val="pt-BR"/>
        </w:rPr>
        <w:t xml:space="preserve"> ..........................................</w:t>
      </w:r>
      <w:r>
        <w:rPr>
          <w:rFonts w:ascii="Arial" w:hAnsi="Arial" w:eastAsia="Arial" w:cs="Arial"/>
          <w:color w:val="FF0000"/>
          <w:sz w:val="20"/>
          <w:szCs w:val="20"/>
        </w:rPr>
        <w:t xml:space="preserve">, CNPJ n. </w:t>
      </w:r>
      <w:r>
        <w:rPr>
          <w:rFonts w:hint="default" w:ascii="Arial" w:hAnsi="Arial" w:eastAsia="Arial" w:cs="Arial"/>
          <w:color w:val="FF0000"/>
          <w:sz w:val="20"/>
          <w:szCs w:val="20"/>
          <w:lang w:val="pt-BR"/>
        </w:rPr>
        <w:t>.....................</w:t>
      </w:r>
      <w:r>
        <w:rPr>
          <w:rFonts w:ascii="Arial" w:hAnsi="Arial" w:eastAsia="Arial" w:cs="Arial"/>
          <w:color w:val="FF0000"/>
          <w:sz w:val="20"/>
          <w:szCs w:val="20"/>
        </w:rPr>
        <w:t xml:space="preserve">, com endereço </w:t>
      </w:r>
      <w:r>
        <w:rPr>
          <w:rFonts w:hint="default" w:ascii="Arial" w:hAnsi="Arial" w:eastAsia="Arial" w:cs="Arial"/>
          <w:color w:val="FF0000"/>
          <w:sz w:val="20"/>
          <w:szCs w:val="20"/>
          <w:lang w:val="pt-BR"/>
        </w:rPr>
        <w:t>à ...............................................................</w:t>
      </w:r>
      <w:r>
        <w:rPr>
          <w:rFonts w:ascii="Arial" w:hAnsi="Arial" w:eastAsia="Arial" w:cs="Arial"/>
          <w:color w:val="FF0000"/>
          <w:sz w:val="20"/>
          <w:szCs w:val="20"/>
        </w:rPr>
        <w:t xml:space="preserve">, representada por </w:t>
      </w:r>
      <w:r>
        <w:rPr>
          <w:rFonts w:hint="default" w:ascii="Arial" w:hAnsi="Arial" w:eastAsia="Arial" w:cs="Arial"/>
          <w:color w:val="FF0000"/>
          <w:sz w:val="20"/>
          <w:szCs w:val="20"/>
          <w:lang w:val="pt-BR"/>
        </w:rPr>
        <w:t>.........................................., Carteira de identidade n. .....................................,  inscrito no CPF n. ....................................., doravante denominada  CONTRATADA</w:t>
      </w:r>
      <w:r>
        <w:rPr>
          <w:rFonts w:ascii="Arial" w:hAnsi="Arial" w:eastAsia="Arial" w:cs="Arial"/>
          <w:sz w:val="20"/>
          <w:szCs w:val="20"/>
        </w:rPr>
        <w:t>,</w:t>
      </w:r>
      <w:r>
        <w:rPr>
          <w:rFonts w:ascii="Arial" w:hAnsi="Arial" w:eastAsia="Arial" w:cs="Arial"/>
          <w:i/>
          <w:iCs/>
          <w:color w:val="FF0000"/>
          <w:sz w:val="20"/>
          <w:szCs w:val="20"/>
        </w:rPr>
        <w:t xml:space="preserve"> </w:t>
      </w:r>
      <w:r>
        <w:rPr>
          <w:rFonts w:ascii="Arial" w:hAnsi="Arial" w:eastAsia="Arial" w:cs="Arial"/>
          <w:sz w:val="20"/>
          <w:szCs w:val="20"/>
        </w:rPr>
        <w:t xml:space="preserve">tendo em vista o que consta no Processo nº </w:t>
      </w:r>
      <w:r>
        <w:rPr>
          <w:rFonts w:ascii="Arial" w:hAnsi="Arial" w:eastAsia="Arial" w:cs="Arial"/>
          <w:color w:val="FF0000"/>
          <w:sz w:val="20"/>
          <w:szCs w:val="20"/>
        </w:rPr>
        <w:t xml:space="preserve">.............................. </w:t>
      </w:r>
      <w:r>
        <w:rPr>
          <w:rFonts w:ascii="Arial" w:hAnsi="Arial" w:eastAsia="Arial" w:cs="Arial"/>
          <w:sz w:val="20"/>
          <w:szCs w:val="20"/>
        </w:rPr>
        <w:t>e em observância às disposições da Lei nº 14.133, de 1º de abril de 2021, e demais legislaç</w:t>
      </w:r>
      <w:r>
        <w:rPr>
          <w:rFonts w:hint="default" w:ascii="Arial" w:hAnsi="Arial" w:eastAsia="Arial" w:cs="Arial"/>
          <w:sz w:val="20"/>
          <w:szCs w:val="20"/>
          <w:lang w:val="pt-BR"/>
        </w:rPr>
        <w:t xml:space="preserve">ões </w:t>
      </w:r>
      <w:r>
        <w:rPr>
          <w:rFonts w:ascii="Arial" w:hAnsi="Arial" w:eastAsia="Arial" w:cs="Arial"/>
          <w:sz w:val="20"/>
          <w:szCs w:val="20"/>
        </w:rPr>
        <w:t>aplicáv</w:t>
      </w:r>
      <w:r>
        <w:rPr>
          <w:rFonts w:hint="default" w:ascii="Arial" w:hAnsi="Arial" w:eastAsia="Arial" w:cs="Arial"/>
          <w:sz w:val="20"/>
          <w:szCs w:val="20"/>
          <w:lang w:val="pt-BR"/>
        </w:rPr>
        <w:t>eis</w:t>
      </w:r>
      <w:r>
        <w:rPr>
          <w:rFonts w:ascii="Arial" w:hAnsi="Arial" w:eastAsia="Arial" w:cs="Arial"/>
          <w:sz w:val="20"/>
          <w:szCs w:val="20"/>
        </w:rPr>
        <w:t xml:space="preserve">, resolvem celebrar o presente Termo de Contrato, decorrente do decorrente </w:t>
      </w:r>
      <w:r>
        <w:rPr>
          <w:rFonts w:ascii="Arial" w:hAnsi="Arial" w:eastAsia="Arial" w:cs="Arial"/>
          <w:i/>
          <w:color w:val="FF0000"/>
          <w:sz w:val="20"/>
          <w:szCs w:val="20"/>
        </w:rPr>
        <w:t>do Termo de Inexigibilidade nº......</w:t>
      </w:r>
      <w:r>
        <w:rPr>
          <w:rFonts w:ascii="Arial" w:hAnsi="Arial" w:eastAsia="Arial" w:cs="Arial"/>
          <w:sz w:val="20"/>
          <w:szCs w:val="20"/>
        </w:rPr>
        <w:t>, mediante as cláusulas e condições a seguir enunciadas.</w:t>
      </w:r>
    </w:p>
    <w:p w14:paraId="54A5F15F">
      <w:pPr>
        <w:keepNext/>
        <w:keepLines/>
        <w:numPr>
          <w:ilvl w:val="0"/>
          <w:numId w:val="1"/>
        </w:numPr>
        <w:pBdr>
          <w:top w:val="none" w:color="auto" w:sz="0" w:space="0"/>
          <w:left w:val="none" w:color="auto" w:sz="0" w:space="0"/>
          <w:bottom w:val="none" w:color="auto" w:sz="0" w:space="0"/>
          <w:right w:val="none" w:color="auto" w:sz="0" w:space="0"/>
          <w:between w:val="none" w:color="auto" w:sz="0" w:space="0"/>
        </w:pBdr>
        <w:tabs>
          <w:tab w:val="left" w:pos="567"/>
        </w:tabs>
        <w:spacing w:before="240"/>
        <w:ind w:firstLine="491"/>
        <w:jc w:val="both"/>
        <w:rPr>
          <w:rFonts w:ascii="Arial" w:hAnsi="Arial" w:eastAsia="Arial" w:cs="Arial"/>
          <w:color w:val="FFFFFF"/>
          <w:sz w:val="20"/>
          <w:szCs w:val="20"/>
        </w:rPr>
      </w:pPr>
      <w:r>
        <w:rPr>
          <w:rFonts w:ascii="Arial" w:hAnsi="Arial" w:eastAsia="Arial" w:cs="Arial"/>
          <w:b/>
          <w:color w:val="000000"/>
          <w:sz w:val="20"/>
          <w:szCs w:val="20"/>
        </w:rPr>
        <w:t>CLÁUSULA PRIMEIRA – OBJETO (</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80"/>
          <w:sz w:val="20"/>
          <w:szCs w:val="20"/>
          <w:u w:val="single"/>
        </w:rPr>
        <w:t>art. 92, I e II</w:t>
      </w:r>
      <w:r>
        <w:rPr>
          <w:rFonts w:ascii="Arial" w:hAnsi="Arial" w:eastAsia="Arial" w:cs="Arial"/>
          <w:b/>
          <w:color w:val="000080"/>
          <w:sz w:val="20"/>
          <w:szCs w:val="20"/>
          <w:u w:val="single"/>
        </w:rPr>
        <w:fldChar w:fldCharType="end"/>
      </w:r>
      <w:r>
        <w:rPr>
          <w:rFonts w:ascii="Arial" w:hAnsi="Arial" w:eastAsia="Arial" w:cs="Arial"/>
          <w:b/>
          <w:color w:val="000000"/>
          <w:sz w:val="20"/>
          <w:szCs w:val="20"/>
        </w:rPr>
        <w:t>)</w:t>
      </w:r>
    </w:p>
    <w:p w14:paraId="7D29AC57">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 xml:space="preserve">O objeto do presente instrumento é a contratação de serviços de </w:t>
      </w:r>
      <w:r>
        <w:rPr>
          <w:rFonts w:ascii="Arial" w:hAnsi="Arial" w:eastAsia="Arial" w:cs="Arial"/>
          <w:color w:val="FF0000"/>
          <w:sz w:val="20"/>
          <w:szCs w:val="20"/>
        </w:rPr>
        <w:t>..........................</w:t>
      </w:r>
      <w:r>
        <w:rPr>
          <w:rFonts w:ascii="Arial" w:hAnsi="Arial" w:eastAsia="Arial" w:cs="Arial"/>
          <w:color w:val="000000"/>
          <w:sz w:val="20"/>
          <w:szCs w:val="20"/>
        </w:rPr>
        <w:t>, nas condições estabelecidas no Termo de Referência.</w:t>
      </w:r>
    </w:p>
    <w:p w14:paraId="42C575D9">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Objeto da contratação:</w:t>
      </w:r>
    </w:p>
    <w:tbl>
      <w:tblPr>
        <w:tblStyle w:val="18"/>
        <w:tblW w:w="9783" w:type="dxa"/>
        <w:tblInd w:w="-147" w:type="dxa"/>
        <w:tblLayout w:type="fixed"/>
        <w:tblCellMar>
          <w:top w:w="0" w:type="dxa"/>
          <w:left w:w="115" w:type="dxa"/>
          <w:bottom w:w="0" w:type="dxa"/>
          <w:right w:w="115" w:type="dxa"/>
        </w:tblCellMar>
      </w:tblPr>
      <w:tblGrid>
        <w:gridCol w:w="992"/>
        <w:gridCol w:w="1985"/>
        <w:gridCol w:w="1276"/>
        <w:gridCol w:w="1418"/>
        <w:gridCol w:w="1844"/>
        <w:gridCol w:w="1279"/>
        <w:gridCol w:w="989"/>
      </w:tblGrid>
      <w:tr w14:paraId="1D013D16">
        <w:tblPrEx>
          <w:tblCellMar>
            <w:top w:w="0" w:type="dxa"/>
            <w:left w:w="115" w:type="dxa"/>
            <w:bottom w:w="0" w:type="dxa"/>
            <w:right w:w="115" w:type="dxa"/>
          </w:tblCellMar>
        </w:tblPrEx>
        <w:tc>
          <w:tcPr>
            <w:tcW w:w="992" w:type="dxa"/>
            <w:tcBorders>
              <w:top w:val="single" w:color="000000" w:sz="4" w:space="0"/>
              <w:left w:val="single" w:color="000000" w:sz="4" w:space="0"/>
              <w:bottom w:val="single" w:color="000000" w:sz="4" w:space="0"/>
              <w:right w:val="single" w:color="000000" w:sz="4" w:space="0"/>
            </w:tcBorders>
          </w:tcPr>
          <w:p w14:paraId="2C46E392">
            <w:pPr>
              <w:widowControl w:val="0"/>
              <w:spacing w:before="120" w:after="288" w:line="276" w:lineRule="auto"/>
              <w:rPr>
                <w:rFonts w:ascii="Arial" w:hAnsi="Arial" w:eastAsia="Arial" w:cs="Arial"/>
                <w:b/>
                <w:color w:val="000000"/>
                <w:sz w:val="20"/>
                <w:szCs w:val="20"/>
              </w:rPr>
            </w:pPr>
            <w:commentRangeStart w:id="0"/>
            <w:r>
              <w:rPr>
                <w:rFonts w:ascii="Arial" w:hAnsi="Arial" w:eastAsia="Arial" w:cs="Arial"/>
                <w:b/>
                <w:color w:val="000000"/>
                <w:sz w:val="20"/>
                <w:szCs w:val="20"/>
              </w:rPr>
              <w:t>ITEM</w:t>
            </w:r>
          </w:p>
          <w:p w14:paraId="3695146F">
            <w:pPr>
              <w:widowControl w:val="0"/>
              <w:spacing w:before="120" w:after="288" w:line="276" w:lineRule="auto"/>
              <w:ind w:firstLine="720"/>
              <w:jc w:val="center"/>
              <w:rPr>
                <w:rFonts w:ascii="Arial" w:hAnsi="Arial" w:eastAsia="Arial" w:cs="Arial"/>
                <w:b/>
                <w:color w:val="000000"/>
                <w:sz w:val="20"/>
                <w:szCs w:val="20"/>
              </w:rPr>
            </w:pPr>
          </w:p>
        </w:tc>
        <w:tc>
          <w:tcPr>
            <w:tcW w:w="1985" w:type="dxa"/>
            <w:tcBorders>
              <w:top w:val="single" w:color="000000" w:sz="4" w:space="0"/>
              <w:left w:val="single" w:color="000000" w:sz="4" w:space="0"/>
              <w:bottom w:val="single" w:color="000000" w:sz="4" w:space="0"/>
              <w:right w:val="single" w:color="000000" w:sz="4" w:space="0"/>
            </w:tcBorders>
          </w:tcPr>
          <w:p w14:paraId="103DA93D">
            <w:pPr>
              <w:widowControl w:val="0"/>
              <w:spacing w:before="120" w:after="288" w:line="276" w:lineRule="auto"/>
              <w:rPr>
                <w:rFonts w:ascii="Arial" w:hAnsi="Arial" w:eastAsia="Arial" w:cs="Arial"/>
                <w:color w:val="000000"/>
                <w:sz w:val="20"/>
                <w:szCs w:val="20"/>
              </w:rPr>
            </w:pPr>
            <w:r>
              <w:rPr>
                <w:rFonts w:ascii="Arial" w:hAnsi="Arial" w:eastAsia="Arial" w:cs="Arial"/>
                <w:b/>
                <w:color w:val="000000"/>
                <w:sz w:val="20"/>
                <w:szCs w:val="20"/>
              </w:rPr>
              <w:t>ESPECIFICAÇÃO</w:t>
            </w:r>
          </w:p>
        </w:tc>
        <w:tc>
          <w:tcPr>
            <w:tcW w:w="1276" w:type="dxa"/>
            <w:tcBorders>
              <w:top w:val="single" w:color="000000" w:sz="4" w:space="0"/>
              <w:left w:val="single" w:color="000000" w:sz="4" w:space="0"/>
              <w:bottom w:val="single" w:color="000000" w:sz="4" w:space="0"/>
              <w:right w:val="single" w:color="000000" w:sz="4" w:space="0"/>
            </w:tcBorders>
          </w:tcPr>
          <w:p w14:paraId="28924481">
            <w:pPr>
              <w:widowControl w:val="0"/>
              <w:spacing w:before="120" w:after="288" w:line="276" w:lineRule="auto"/>
              <w:rPr>
                <w:rFonts w:ascii="Arial" w:hAnsi="Arial" w:eastAsia="Arial" w:cs="Arial"/>
                <w:color w:val="000000"/>
                <w:sz w:val="20"/>
                <w:szCs w:val="20"/>
              </w:rPr>
            </w:pPr>
            <w:r>
              <w:rPr>
                <w:rFonts w:ascii="Arial" w:hAnsi="Arial" w:eastAsia="Arial" w:cs="Arial"/>
                <w:b/>
                <w:color w:val="000000"/>
                <w:sz w:val="20"/>
                <w:szCs w:val="20"/>
              </w:rPr>
              <w:t>CATSER</w:t>
            </w:r>
          </w:p>
        </w:tc>
        <w:tc>
          <w:tcPr>
            <w:tcW w:w="1418" w:type="dxa"/>
            <w:tcBorders>
              <w:top w:val="single" w:color="000000" w:sz="4" w:space="0"/>
              <w:left w:val="single" w:color="000000" w:sz="4" w:space="0"/>
              <w:bottom w:val="single" w:color="000000" w:sz="4" w:space="0"/>
              <w:right w:val="single" w:color="000000" w:sz="4" w:space="0"/>
            </w:tcBorders>
          </w:tcPr>
          <w:p w14:paraId="0E5ADD50">
            <w:pPr>
              <w:widowControl w:val="0"/>
              <w:spacing w:before="120" w:after="288" w:line="276" w:lineRule="auto"/>
              <w:rPr>
                <w:rFonts w:ascii="Arial" w:hAnsi="Arial" w:eastAsia="Arial" w:cs="Arial"/>
                <w:color w:val="000000"/>
                <w:sz w:val="20"/>
                <w:szCs w:val="20"/>
              </w:rPr>
            </w:pPr>
            <w:r>
              <w:rPr>
                <w:rFonts w:ascii="Arial" w:hAnsi="Arial" w:eastAsia="Arial" w:cs="Arial"/>
                <w:b/>
                <w:color w:val="000000"/>
                <w:sz w:val="20"/>
                <w:szCs w:val="20"/>
              </w:rPr>
              <w:t>UNIDADE DE MEDIDA</w:t>
            </w:r>
          </w:p>
        </w:tc>
        <w:tc>
          <w:tcPr>
            <w:tcW w:w="1844" w:type="dxa"/>
            <w:tcBorders>
              <w:top w:val="single" w:color="000000" w:sz="4" w:space="0"/>
              <w:left w:val="single" w:color="000000" w:sz="4" w:space="0"/>
              <w:bottom w:val="single" w:color="000000" w:sz="4" w:space="0"/>
              <w:right w:val="single" w:color="000000" w:sz="4" w:space="0"/>
            </w:tcBorders>
          </w:tcPr>
          <w:p w14:paraId="4EE8EE60">
            <w:pPr>
              <w:widowControl w:val="0"/>
              <w:spacing w:before="120" w:after="288" w:line="276" w:lineRule="auto"/>
              <w:rPr>
                <w:rFonts w:ascii="Arial" w:hAnsi="Arial" w:eastAsia="Arial" w:cs="Arial"/>
                <w:b/>
                <w:sz w:val="20"/>
                <w:szCs w:val="20"/>
              </w:rPr>
            </w:pPr>
            <w:r>
              <w:rPr>
                <w:rFonts w:ascii="Arial" w:hAnsi="Arial" w:eastAsia="Arial" w:cs="Arial"/>
                <w:b/>
                <w:sz w:val="20"/>
                <w:szCs w:val="20"/>
              </w:rPr>
              <w:t>QUANTIDADE</w:t>
            </w:r>
          </w:p>
        </w:tc>
        <w:tc>
          <w:tcPr>
            <w:tcW w:w="1279" w:type="dxa"/>
            <w:tcBorders>
              <w:top w:val="single" w:color="000000" w:sz="4" w:space="0"/>
              <w:left w:val="single" w:color="000000" w:sz="4" w:space="0"/>
              <w:bottom w:val="single" w:color="000000" w:sz="4" w:space="0"/>
              <w:right w:val="single" w:color="000000" w:sz="4" w:space="0"/>
            </w:tcBorders>
          </w:tcPr>
          <w:p w14:paraId="590DA813">
            <w:pPr>
              <w:widowControl w:val="0"/>
              <w:spacing w:before="120" w:after="288" w:line="276" w:lineRule="auto"/>
              <w:rPr>
                <w:rFonts w:ascii="Arial" w:hAnsi="Arial" w:eastAsia="Arial" w:cs="Arial"/>
                <w:b/>
                <w:sz w:val="20"/>
                <w:szCs w:val="20"/>
              </w:rPr>
            </w:pPr>
            <w:r>
              <w:rPr>
                <w:rFonts w:ascii="Arial" w:hAnsi="Arial" w:eastAsia="Arial" w:cs="Arial"/>
                <w:b/>
                <w:sz w:val="20"/>
                <w:szCs w:val="20"/>
              </w:rPr>
              <w:t>VALOR UNITÁRIO</w:t>
            </w:r>
          </w:p>
        </w:tc>
        <w:tc>
          <w:tcPr>
            <w:tcW w:w="989" w:type="dxa"/>
            <w:tcBorders>
              <w:top w:val="single" w:color="000000" w:sz="4" w:space="0"/>
              <w:left w:val="single" w:color="000000" w:sz="4" w:space="0"/>
              <w:bottom w:val="single" w:color="000000" w:sz="4" w:space="0"/>
              <w:right w:val="single" w:color="000000" w:sz="4" w:space="0"/>
            </w:tcBorders>
          </w:tcPr>
          <w:p w14:paraId="7BF5BA83">
            <w:pPr>
              <w:widowControl w:val="0"/>
              <w:spacing w:before="120" w:after="288" w:line="276" w:lineRule="auto"/>
              <w:rPr>
                <w:rFonts w:ascii="Arial" w:hAnsi="Arial" w:eastAsia="Arial" w:cs="Arial"/>
                <w:b/>
                <w:sz w:val="20"/>
                <w:szCs w:val="20"/>
              </w:rPr>
            </w:pPr>
            <w:r>
              <w:rPr>
                <w:rFonts w:ascii="Arial" w:hAnsi="Arial" w:eastAsia="Arial" w:cs="Arial"/>
                <w:b/>
                <w:sz w:val="20"/>
                <w:szCs w:val="20"/>
              </w:rPr>
              <w:t>VALOR TOTAL</w:t>
            </w:r>
          </w:p>
        </w:tc>
      </w:tr>
      <w:tr w14:paraId="5E275AB0">
        <w:tblPrEx>
          <w:tblCellMar>
            <w:top w:w="0" w:type="dxa"/>
            <w:left w:w="115" w:type="dxa"/>
            <w:bottom w:w="0" w:type="dxa"/>
            <w:right w:w="115" w:type="dxa"/>
          </w:tblCellMar>
        </w:tblPrEx>
        <w:tc>
          <w:tcPr>
            <w:tcW w:w="992" w:type="dxa"/>
            <w:tcBorders>
              <w:top w:val="single" w:color="000000" w:sz="4" w:space="0"/>
              <w:left w:val="single" w:color="000000" w:sz="4" w:space="0"/>
              <w:bottom w:val="single" w:color="000000" w:sz="4" w:space="0"/>
              <w:right w:val="single" w:color="000000" w:sz="4" w:space="0"/>
            </w:tcBorders>
          </w:tcPr>
          <w:p w14:paraId="53913475">
            <w:pPr>
              <w:widowControl w:val="0"/>
              <w:spacing w:before="120" w:after="288" w:line="276" w:lineRule="auto"/>
              <w:ind w:firstLine="720"/>
              <w:jc w:val="center"/>
              <w:rPr>
                <w:rFonts w:ascii="Arial" w:hAnsi="Arial" w:eastAsia="Arial" w:cs="Arial"/>
                <w:b/>
                <w:color w:val="000000"/>
                <w:sz w:val="20"/>
                <w:szCs w:val="20"/>
              </w:rPr>
            </w:pPr>
            <w:r>
              <w:rPr>
                <w:rFonts w:ascii="Arial" w:hAnsi="Arial" w:eastAsia="Arial" w:cs="Arial"/>
                <w:b/>
                <w:color w:val="000000"/>
                <w:sz w:val="20"/>
                <w:szCs w:val="20"/>
              </w:rPr>
              <w:t>1</w:t>
            </w:r>
          </w:p>
        </w:tc>
        <w:tc>
          <w:tcPr>
            <w:tcW w:w="1985" w:type="dxa"/>
            <w:tcBorders>
              <w:top w:val="single" w:color="000000" w:sz="4" w:space="0"/>
              <w:left w:val="single" w:color="000000" w:sz="4" w:space="0"/>
              <w:bottom w:val="single" w:color="000000" w:sz="4" w:space="0"/>
              <w:right w:val="single" w:color="000000" w:sz="4" w:space="0"/>
            </w:tcBorders>
          </w:tcPr>
          <w:p w14:paraId="04964094">
            <w:pPr>
              <w:widowControl w:val="0"/>
              <w:spacing w:before="120" w:after="288" w:line="276" w:lineRule="auto"/>
              <w:ind w:firstLine="720"/>
              <w:jc w:val="center"/>
              <w:rPr>
                <w:rFonts w:ascii="Arial" w:hAnsi="Arial" w:eastAsia="Arial" w:cs="Arial"/>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Pr>
          <w:p w14:paraId="1338199A">
            <w:pPr>
              <w:widowControl w:val="0"/>
              <w:spacing w:before="120" w:after="288" w:line="276" w:lineRule="auto"/>
              <w:ind w:firstLine="720"/>
              <w:jc w:val="center"/>
              <w:rPr>
                <w:rFonts w:ascii="Arial" w:hAnsi="Arial" w:eastAsia="Arial" w:cs="Arial"/>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tcPr>
          <w:p w14:paraId="6A3AE662">
            <w:pPr>
              <w:widowControl w:val="0"/>
              <w:spacing w:before="120" w:after="288" w:line="276" w:lineRule="auto"/>
              <w:ind w:firstLine="720"/>
              <w:jc w:val="center"/>
              <w:rPr>
                <w:rFonts w:ascii="Arial" w:hAnsi="Arial" w:eastAsia="Arial" w:cs="Arial"/>
                <w:color w:val="000000"/>
                <w:sz w:val="20"/>
                <w:szCs w:val="20"/>
              </w:rPr>
            </w:pPr>
          </w:p>
        </w:tc>
        <w:tc>
          <w:tcPr>
            <w:tcW w:w="1844" w:type="dxa"/>
            <w:tcBorders>
              <w:top w:val="single" w:color="000000" w:sz="4" w:space="0"/>
              <w:left w:val="single" w:color="000000" w:sz="4" w:space="0"/>
              <w:bottom w:val="single" w:color="000000" w:sz="4" w:space="0"/>
              <w:right w:val="single" w:color="000000" w:sz="4" w:space="0"/>
            </w:tcBorders>
          </w:tcPr>
          <w:p w14:paraId="70A53BB4">
            <w:pPr>
              <w:widowControl w:val="0"/>
              <w:spacing w:before="120" w:after="288" w:line="276" w:lineRule="auto"/>
              <w:ind w:firstLine="720"/>
              <w:jc w:val="center"/>
              <w:rPr>
                <w:rFonts w:ascii="Arial" w:hAnsi="Arial" w:eastAsia="Arial" w:cs="Arial"/>
                <w:color w:val="000000"/>
                <w:sz w:val="20"/>
                <w:szCs w:val="20"/>
              </w:rPr>
            </w:pPr>
          </w:p>
        </w:tc>
        <w:tc>
          <w:tcPr>
            <w:tcW w:w="1279" w:type="dxa"/>
            <w:tcBorders>
              <w:top w:val="single" w:color="000000" w:sz="4" w:space="0"/>
              <w:left w:val="single" w:color="000000" w:sz="4" w:space="0"/>
              <w:bottom w:val="single" w:color="000000" w:sz="4" w:space="0"/>
              <w:right w:val="single" w:color="000000" w:sz="4" w:space="0"/>
            </w:tcBorders>
          </w:tcPr>
          <w:p w14:paraId="0DF05D22">
            <w:pPr>
              <w:widowControl w:val="0"/>
              <w:spacing w:before="120" w:after="288" w:line="276" w:lineRule="auto"/>
              <w:ind w:firstLine="720"/>
              <w:jc w:val="center"/>
              <w:rPr>
                <w:rFonts w:ascii="Arial" w:hAnsi="Arial" w:eastAsia="Arial" w:cs="Arial"/>
                <w:color w:val="000000"/>
                <w:sz w:val="20"/>
                <w:szCs w:val="20"/>
              </w:rPr>
            </w:pPr>
          </w:p>
        </w:tc>
        <w:tc>
          <w:tcPr>
            <w:tcW w:w="989" w:type="dxa"/>
            <w:tcBorders>
              <w:top w:val="single" w:color="000000" w:sz="4" w:space="0"/>
              <w:left w:val="single" w:color="000000" w:sz="4" w:space="0"/>
              <w:bottom w:val="single" w:color="000000" w:sz="4" w:space="0"/>
              <w:right w:val="single" w:color="000000" w:sz="4" w:space="0"/>
            </w:tcBorders>
          </w:tcPr>
          <w:p w14:paraId="593194D3">
            <w:pPr>
              <w:widowControl w:val="0"/>
              <w:spacing w:before="120" w:after="288" w:line="276" w:lineRule="auto"/>
              <w:ind w:firstLine="720"/>
              <w:jc w:val="center"/>
              <w:rPr>
                <w:rFonts w:ascii="Arial" w:hAnsi="Arial" w:eastAsia="Arial" w:cs="Arial"/>
                <w:color w:val="000000"/>
                <w:sz w:val="20"/>
                <w:szCs w:val="20"/>
              </w:rPr>
            </w:pPr>
          </w:p>
        </w:tc>
      </w:tr>
      <w:tr w14:paraId="6A71976E">
        <w:tblPrEx>
          <w:tblCellMar>
            <w:top w:w="0" w:type="dxa"/>
            <w:left w:w="115" w:type="dxa"/>
            <w:bottom w:w="0" w:type="dxa"/>
            <w:right w:w="115" w:type="dxa"/>
          </w:tblCellMar>
        </w:tblPrEx>
        <w:tc>
          <w:tcPr>
            <w:tcW w:w="992" w:type="dxa"/>
            <w:tcBorders>
              <w:top w:val="single" w:color="000000" w:sz="4" w:space="0"/>
              <w:left w:val="single" w:color="000000" w:sz="4" w:space="0"/>
              <w:bottom w:val="single" w:color="000000" w:sz="4" w:space="0"/>
              <w:right w:val="single" w:color="000000" w:sz="4" w:space="0"/>
            </w:tcBorders>
          </w:tcPr>
          <w:p w14:paraId="26CEEB54">
            <w:pPr>
              <w:widowControl w:val="0"/>
              <w:spacing w:before="120" w:after="288" w:line="276" w:lineRule="auto"/>
              <w:ind w:firstLine="720"/>
              <w:jc w:val="center"/>
              <w:rPr>
                <w:rFonts w:ascii="Arial" w:hAnsi="Arial" w:eastAsia="Arial" w:cs="Arial"/>
                <w:b/>
                <w:color w:val="000000"/>
                <w:sz w:val="20"/>
                <w:szCs w:val="20"/>
              </w:rPr>
            </w:pPr>
            <w:r>
              <w:rPr>
                <w:rFonts w:ascii="Arial" w:hAnsi="Arial" w:eastAsia="Arial" w:cs="Arial"/>
                <w:b/>
                <w:color w:val="000000"/>
                <w:sz w:val="20"/>
                <w:szCs w:val="20"/>
              </w:rPr>
              <w:t>2</w:t>
            </w:r>
          </w:p>
        </w:tc>
        <w:tc>
          <w:tcPr>
            <w:tcW w:w="1985" w:type="dxa"/>
            <w:tcBorders>
              <w:top w:val="single" w:color="000000" w:sz="4" w:space="0"/>
              <w:left w:val="single" w:color="000000" w:sz="4" w:space="0"/>
              <w:bottom w:val="single" w:color="000000" w:sz="4" w:space="0"/>
              <w:right w:val="single" w:color="000000" w:sz="4" w:space="0"/>
            </w:tcBorders>
          </w:tcPr>
          <w:p w14:paraId="6B26C3BD">
            <w:pPr>
              <w:widowControl w:val="0"/>
              <w:spacing w:before="120" w:after="288" w:line="276" w:lineRule="auto"/>
              <w:ind w:firstLine="720"/>
              <w:jc w:val="center"/>
              <w:rPr>
                <w:rFonts w:ascii="Arial" w:hAnsi="Arial" w:eastAsia="Arial" w:cs="Arial"/>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Pr>
          <w:p w14:paraId="49301BC7">
            <w:pPr>
              <w:widowControl w:val="0"/>
              <w:spacing w:before="120" w:after="288" w:line="276" w:lineRule="auto"/>
              <w:ind w:firstLine="720"/>
              <w:jc w:val="center"/>
              <w:rPr>
                <w:rFonts w:ascii="Arial" w:hAnsi="Arial" w:eastAsia="Arial" w:cs="Arial"/>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tcPr>
          <w:p w14:paraId="55A66D58">
            <w:pPr>
              <w:widowControl w:val="0"/>
              <w:spacing w:before="120" w:after="288" w:line="276" w:lineRule="auto"/>
              <w:ind w:firstLine="720"/>
              <w:jc w:val="center"/>
              <w:rPr>
                <w:rFonts w:ascii="Arial" w:hAnsi="Arial" w:eastAsia="Arial" w:cs="Arial"/>
                <w:color w:val="000000"/>
                <w:sz w:val="20"/>
                <w:szCs w:val="20"/>
              </w:rPr>
            </w:pPr>
          </w:p>
        </w:tc>
        <w:tc>
          <w:tcPr>
            <w:tcW w:w="1844" w:type="dxa"/>
            <w:tcBorders>
              <w:top w:val="single" w:color="000000" w:sz="4" w:space="0"/>
              <w:left w:val="single" w:color="000000" w:sz="4" w:space="0"/>
              <w:bottom w:val="single" w:color="000000" w:sz="4" w:space="0"/>
              <w:right w:val="single" w:color="000000" w:sz="4" w:space="0"/>
            </w:tcBorders>
          </w:tcPr>
          <w:p w14:paraId="6CBDB0D1">
            <w:pPr>
              <w:widowControl w:val="0"/>
              <w:spacing w:before="120" w:after="288" w:line="276" w:lineRule="auto"/>
              <w:ind w:firstLine="720"/>
              <w:jc w:val="center"/>
              <w:rPr>
                <w:rFonts w:ascii="Arial" w:hAnsi="Arial" w:eastAsia="Arial" w:cs="Arial"/>
                <w:color w:val="000000"/>
                <w:sz w:val="20"/>
                <w:szCs w:val="20"/>
              </w:rPr>
            </w:pPr>
          </w:p>
        </w:tc>
        <w:tc>
          <w:tcPr>
            <w:tcW w:w="1279" w:type="dxa"/>
            <w:tcBorders>
              <w:top w:val="single" w:color="000000" w:sz="4" w:space="0"/>
              <w:left w:val="single" w:color="000000" w:sz="4" w:space="0"/>
              <w:bottom w:val="single" w:color="000000" w:sz="4" w:space="0"/>
              <w:right w:val="single" w:color="000000" w:sz="4" w:space="0"/>
            </w:tcBorders>
          </w:tcPr>
          <w:p w14:paraId="443538B0">
            <w:pPr>
              <w:widowControl w:val="0"/>
              <w:spacing w:before="120" w:after="288" w:line="276" w:lineRule="auto"/>
              <w:ind w:firstLine="720"/>
              <w:jc w:val="center"/>
              <w:rPr>
                <w:rFonts w:ascii="Arial" w:hAnsi="Arial" w:eastAsia="Arial" w:cs="Arial"/>
                <w:color w:val="000000"/>
                <w:sz w:val="20"/>
                <w:szCs w:val="20"/>
              </w:rPr>
            </w:pPr>
          </w:p>
        </w:tc>
        <w:tc>
          <w:tcPr>
            <w:tcW w:w="989" w:type="dxa"/>
            <w:tcBorders>
              <w:top w:val="single" w:color="000000" w:sz="4" w:space="0"/>
              <w:left w:val="single" w:color="000000" w:sz="4" w:space="0"/>
              <w:bottom w:val="single" w:color="000000" w:sz="4" w:space="0"/>
              <w:right w:val="single" w:color="000000" w:sz="4" w:space="0"/>
            </w:tcBorders>
          </w:tcPr>
          <w:p w14:paraId="48CC8E08">
            <w:pPr>
              <w:widowControl w:val="0"/>
              <w:spacing w:before="120" w:after="288" w:line="276" w:lineRule="auto"/>
              <w:ind w:firstLine="720"/>
              <w:jc w:val="center"/>
              <w:rPr>
                <w:rFonts w:ascii="Arial" w:hAnsi="Arial" w:eastAsia="Arial" w:cs="Arial"/>
                <w:color w:val="000000"/>
                <w:sz w:val="20"/>
                <w:szCs w:val="20"/>
              </w:rPr>
            </w:pPr>
          </w:p>
        </w:tc>
      </w:tr>
      <w:tr w14:paraId="05B524F8">
        <w:tblPrEx>
          <w:tblCellMar>
            <w:top w:w="0" w:type="dxa"/>
            <w:left w:w="115" w:type="dxa"/>
            <w:bottom w:w="0" w:type="dxa"/>
            <w:right w:w="115" w:type="dxa"/>
          </w:tblCellMar>
        </w:tblPrEx>
        <w:tc>
          <w:tcPr>
            <w:tcW w:w="992" w:type="dxa"/>
            <w:tcBorders>
              <w:top w:val="single" w:color="000000" w:sz="4" w:space="0"/>
              <w:left w:val="single" w:color="000000" w:sz="4" w:space="0"/>
              <w:bottom w:val="single" w:color="000000" w:sz="4" w:space="0"/>
              <w:right w:val="single" w:color="000000" w:sz="4" w:space="0"/>
            </w:tcBorders>
          </w:tcPr>
          <w:p w14:paraId="22CB3E97">
            <w:pPr>
              <w:widowControl w:val="0"/>
              <w:spacing w:before="120" w:after="288" w:line="276" w:lineRule="auto"/>
              <w:ind w:firstLine="720"/>
              <w:jc w:val="center"/>
              <w:rPr>
                <w:rFonts w:ascii="Arial" w:hAnsi="Arial" w:eastAsia="Arial" w:cs="Arial"/>
                <w:b/>
                <w:color w:val="000000"/>
                <w:sz w:val="20"/>
                <w:szCs w:val="20"/>
              </w:rPr>
            </w:pPr>
            <w:r>
              <w:rPr>
                <w:rFonts w:ascii="Arial" w:hAnsi="Arial" w:eastAsia="Arial" w:cs="Arial"/>
                <w:b/>
                <w:color w:val="000000"/>
                <w:sz w:val="20"/>
                <w:szCs w:val="20"/>
              </w:rPr>
              <w:t>3</w:t>
            </w:r>
          </w:p>
        </w:tc>
        <w:tc>
          <w:tcPr>
            <w:tcW w:w="1985" w:type="dxa"/>
            <w:tcBorders>
              <w:top w:val="single" w:color="000000" w:sz="4" w:space="0"/>
              <w:left w:val="single" w:color="000000" w:sz="4" w:space="0"/>
              <w:bottom w:val="single" w:color="000000" w:sz="4" w:space="0"/>
              <w:right w:val="single" w:color="000000" w:sz="4" w:space="0"/>
            </w:tcBorders>
          </w:tcPr>
          <w:p w14:paraId="6A2CE259">
            <w:pPr>
              <w:widowControl w:val="0"/>
              <w:spacing w:before="120" w:after="288" w:line="276" w:lineRule="auto"/>
              <w:ind w:firstLine="720"/>
              <w:jc w:val="center"/>
              <w:rPr>
                <w:rFonts w:ascii="Arial" w:hAnsi="Arial" w:eastAsia="Arial" w:cs="Arial"/>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Pr>
          <w:p w14:paraId="56F452B6">
            <w:pPr>
              <w:widowControl w:val="0"/>
              <w:spacing w:before="120" w:after="288" w:line="276" w:lineRule="auto"/>
              <w:ind w:firstLine="720"/>
              <w:jc w:val="center"/>
              <w:rPr>
                <w:rFonts w:ascii="Arial" w:hAnsi="Arial" w:eastAsia="Arial" w:cs="Arial"/>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tcPr>
          <w:p w14:paraId="7615FCE9">
            <w:pPr>
              <w:widowControl w:val="0"/>
              <w:spacing w:before="120" w:after="288" w:line="276" w:lineRule="auto"/>
              <w:ind w:firstLine="720"/>
              <w:jc w:val="center"/>
              <w:rPr>
                <w:rFonts w:ascii="Arial" w:hAnsi="Arial" w:eastAsia="Arial" w:cs="Arial"/>
                <w:color w:val="000000"/>
                <w:sz w:val="20"/>
                <w:szCs w:val="20"/>
              </w:rPr>
            </w:pPr>
          </w:p>
        </w:tc>
        <w:tc>
          <w:tcPr>
            <w:tcW w:w="1844" w:type="dxa"/>
            <w:tcBorders>
              <w:top w:val="single" w:color="000000" w:sz="4" w:space="0"/>
              <w:left w:val="single" w:color="000000" w:sz="4" w:space="0"/>
              <w:bottom w:val="single" w:color="000000" w:sz="4" w:space="0"/>
              <w:right w:val="single" w:color="000000" w:sz="4" w:space="0"/>
            </w:tcBorders>
          </w:tcPr>
          <w:p w14:paraId="44946CF5">
            <w:pPr>
              <w:widowControl w:val="0"/>
              <w:spacing w:before="120" w:after="288" w:line="276" w:lineRule="auto"/>
              <w:ind w:firstLine="720"/>
              <w:jc w:val="center"/>
              <w:rPr>
                <w:rFonts w:ascii="Arial" w:hAnsi="Arial" w:eastAsia="Arial" w:cs="Arial"/>
                <w:color w:val="000000"/>
                <w:sz w:val="20"/>
                <w:szCs w:val="20"/>
              </w:rPr>
            </w:pPr>
          </w:p>
        </w:tc>
        <w:tc>
          <w:tcPr>
            <w:tcW w:w="1279" w:type="dxa"/>
            <w:tcBorders>
              <w:top w:val="single" w:color="000000" w:sz="4" w:space="0"/>
              <w:left w:val="single" w:color="000000" w:sz="4" w:space="0"/>
              <w:bottom w:val="single" w:color="000000" w:sz="4" w:space="0"/>
              <w:right w:val="single" w:color="000000" w:sz="4" w:space="0"/>
            </w:tcBorders>
          </w:tcPr>
          <w:p w14:paraId="0D24C5A7">
            <w:pPr>
              <w:widowControl w:val="0"/>
              <w:spacing w:before="120" w:after="288" w:line="276" w:lineRule="auto"/>
              <w:ind w:firstLine="720"/>
              <w:jc w:val="center"/>
              <w:rPr>
                <w:rFonts w:ascii="Arial" w:hAnsi="Arial" w:eastAsia="Arial" w:cs="Arial"/>
                <w:color w:val="000000"/>
                <w:sz w:val="20"/>
                <w:szCs w:val="20"/>
              </w:rPr>
            </w:pPr>
          </w:p>
        </w:tc>
        <w:tc>
          <w:tcPr>
            <w:tcW w:w="989" w:type="dxa"/>
            <w:tcBorders>
              <w:top w:val="single" w:color="000000" w:sz="4" w:space="0"/>
              <w:left w:val="single" w:color="000000" w:sz="4" w:space="0"/>
              <w:bottom w:val="single" w:color="000000" w:sz="4" w:space="0"/>
              <w:right w:val="single" w:color="000000" w:sz="4" w:space="0"/>
            </w:tcBorders>
          </w:tcPr>
          <w:p w14:paraId="56BF588E">
            <w:pPr>
              <w:widowControl w:val="0"/>
              <w:spacing w:before="120" w:after="288" w:line="276" w:lineRule="auto"/>
              <w:ind w:firstLine="720"/>
              <w:jc w:val="center"/>
              <w:rPr>
                <w:rFonts w:ascii="Arial" w:hAnsi="Arial" w:eastAsia="Arial" w:cs="Arial"/>
                <w:color w:val="000000"/>
                <w:sz w:val="20"/>
                <w:szCs w:val="20"/>
              </w:rPr>
            </w:pPr>
          </w:p>
        </w:tc>
      </w:tr>
      <w:tr w14:paraId="14B8F5C9">
        <w:tblPrEx>
          <w:tblCellMar>
            <w:top w:w="0" w:type="dxa"/>
            <w:left w:w="115" w:type="dxa"/>
            <w:bottom w:w="0" w:type="dxa"/>
            <w:right w:w="115" w:type="dxa"/>
          </w:tblCellMar>
        </w:tblPrEx>
        <w:tc>
          <w:tcPr>
            <w:tcW w:w="992" w:type="dxa"/>
            <w:tcBorders>
              <w:top w:val="single" w:color="000000" w:sz="4" w:space="0"/>
              <w:left w:val="single" w:color="000000" w:sz="4" w:space="0"/>
              <w:bottom w:val="single" w:color="000000" w:sz="4" w:space="0"/>
              <w:right w:val="single" w:color="000000" w:sz="4" w:space="0"/>
            </w:tcBorders>
          </w:tcPr>
          <w:p w14:paraId="1157E85B">
            <w:pPr>
              <w:widowControl w:val="0"/>
              <w:spacing w:before="120" w:after="288" w:line="276" w:lineRule="auto"/>
              <w:ind w:firstLine="720"/>
              <w:jc w:val="center"/>
              <w:rPr>
                <w:rFonts w:ascii="Arial" w:hAnsi="Arial" w:eastAsia="Arial" w:cs="Arial"/>
                <w:b/>
                <w:color w:val="000000"/>
                <w:sz w:val="20"/>
                <w:szCs w:val="20"/>
              </w:rPr>
            </w:pPr>
            <w:r>
              <w:rPr>
                <w:rFonts w:ascii="Arial" w:hAnsi="Arial" w:eastAsia="Arial" w:cs="Arial"/>
                <w:b/>
                <w:color w:val="000000"/>
                <w:sz w:val="20"/>
                <w:szCs w:val="20"/>
              </w:rPr>
              <w:t>...</w:t>
            </w:r>
          </w:p>
        </w:tc>
        <w:tc>
          <w:tcPr>
            <w:tcW w:w="1985" w:type="dxa"/>
            <w:tcBorders>
              <w:top w:val="single" w:color="000000" w:sz="4" w:space="0"/>
              <w:left w:val="single" w:color="000000" w:sz="4" w:space="0"/>
              <w:bottom w:val="single" w:color="000000" w:sz="4" w:space="0"/>
              <w:right w:val="single" w:color="000000" w:sz="4" w:space="0"/>
            </w:tcBorders>
          </w:tcPr>
          <w:p w14:paraId="7479AF9D">
            <w:pPr>
              <w:widowControl w:val="0"/>
              <w:spacing w:before="120" w:after="288" w:line="276" w:lineRule="auto"/>
              <w:ind w:firstLine="720"/>
              <w:jc w:val="center"/>
              <w:rPr>
                <w:rFonts w:ascii="Arial" w:hAnsi="Arial" w:eastAsia="Arial" w:cs="Arial"/>
                <w:sz w:val="20"/>
                <w:szCs w:val="20"/>
              </w:rPr>
            </w:pPr>
          </w:p>
        </w:tc>
        <w:tc>
          <w:tcPr>
            <w:tcW w:w="1276" w:type="dxa"/>
            <w:tcBorders>
              <w:top w:val="single" w:color="000000" w:sz="4" w:space="0"/>
              <w:left w:val="single" w:color="000000" w:sz="4" w:space="0"/>
              <w:bottom w:val="single" w:color="000000" w:sz="4" w:space="0"/>
              <w:right w:val="single" w:color="000000" w:sz="4" w:space="0"/>
            </w:tcBorders>
          </w:tcPr>
          <w:p w14:paraId="7B5321F4">
            <w:pPr>
              <w:widowControl w:val="0"/>
              <w:spacing w:before="120" w:after="288" w:line="276" w:lineRule="auto"/>
              <w:ind w:firstLine="720"/>
              <w:jc w:val="center"/>
              <w:rPr>
                <w:rFonts w:ascii="Arial" w:hAnsi="Arial" w:eastAsia="Arial" w:cs="Arial"/>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tcPr>
          <w:p w14:paraId="3F4A7AA9">
            <w:pPr>
              <w:widowControl w:val="0"/>
              <w:spacing w:before="120" w:after="288" w:line="276" w:lineRule="auto"/>
              <w:ind w:firstLine="720"/>
              <w:jc w:val="center"/>
              <w:rPr>
                <w:rFonts w:ascii="Arial" w:hAnsi="Arial" w:eastAsia="Arial" w:cs="Arial"/>
                <w:color w:val="000000"/>
                <w:sz w:val="20"/>
                <w:szCs w:val="20"/>
              </w:rPr>
            </w:pPr>
          </w:p>
          <w:commentRangeEnd w:id="0"/>
        </w:tc>
        <w:tc>
          <w:tcPr>
            <w:tcW w:w="1844" w:type="dxa"/>
            <w:tcBorders>
              <w:top w:val="single" w:color="000000" w:sz="4" w:space="0"/>
              <w:left w:val="single" w:color="000000" w:sz="4" w:space="0"/>
              <w:bottom w:val="single" w:color="000000" w:sz="4" w:space="0"/>
              <w:right w:val="single" w:color="000000" w:sz="4" w:space="0"/>
            </w:tcBorders>
          </w:tcPr>
          <w:p w14:paraId="27508A53">
            <w:pPr>
              <w:widowControl w:val="0"/>
              <w:spacing w:before="120" w:after="288" w:line="276" w:lineRule="auto"/>
              <w:ind w:firstLine="720"/>
              <w:jc w:val="center"/>
              <w:rPr>
                <w:rFonts w:ascii="Arial" w:hAnsi="Arial" w:eastAsia="Arial" w:cs="Arial"/>
                <w:color w:val="000000"/>
                <w:sz w:val="20"/>
                <w:szCs w:val="20"/>
              </w:rPr>
            </w:pPr>
            <w:r>
              <w:commentReference w:id="0"/>
            </w:r>
          </w:p>
        </w:tc>
        <w:tc>
          <w:tcPr>
            <w:tcW w:w="1279" w:type="dxa"/>
            <w:tcBorders>
              <w:top w:val="single" w:color="000000" w:sz="4" w:space="0"/>
              <w:left w:val="single" w:color="000000" w:sz="4" w:space="0"/>
              <w:bottom w:val="single" w:color="000000" w:sz="4" w:space="0"/>
              <w:right w:val="single" w:color="000000" w:sz="4" w:space="0"/>
            </w:tcBorders>
          </w:tcPr>
          <w:p w14:paraId="57D75F54">
            <w:pPr>
              <w:widowControl w:val="0"/>
              <w:spacing w:before="120" w:after="288" w:line="276" w:lineRule="auto"/>
              <w:ind w:firstLine="720"/>
              <w:jc w:val="center"/>
              <w:rPr>
                <w:rFonts w:ascii="Arial" w:hAnsi="Arial" w:eastAsia="Arial" w:cs="Arial"/>
                <w:color w:val="000000"/>
                <w:sz w:val="20"/>
                <w:szCs w:val="20"/>
              </w:rPr>
            </w:pPr>
          </w:p>
        </w:tc>
        <w:tc>
          <w:tcPr>
            <w:tcW w:w="989" w:type="dxa"/>
            <w:tcBorders>
              <w:top w:val="single" w:color="000000" w:sz="4" w:space="0"/>
              <w:left w:val="single" w:color="000000" w:sz="4" w:space="0"/>
              <w:bottom w:val="single" w:color="000000" w:sz="4" w:space="0"/>
              <w:right w:val="single" w:color="000000" w:sz="4" w:space="0"/>
            </w:tcBorders>
          </w:tcPr>
          <w:p w14:paraId="7C70F6CC">
            <w:pPr>
              <w:widowControl w:val="0"/>
              <w:spacing w:before="120" w:after="288" w:line="276" w:lineRule="auto"/>
              <w:ind w:firstLine="720"/>
              <w:jc w:val="center"/>
              <w:rPr>
                <w:rFonts w:ascii="Arial" w:hAnsi="Arial" w:eastAsia="Arial" w:cs="Arial"/>
                <w:color w:val="000000"/>
                <w:sz w:val="20"/>
                <w:szCs w:val="20"/>
              </w:rPr>
            </w:pPr>
          </w:p>
        </w:tc>
      </w:tr>
    </w:tbl>
    <w:p w14:paraId="16B9D54C">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Vinculam esta contratação, independentemente de transcrição:</w:t>
      </w:r>
    </w:p>
    <w:p w14:paraId="72387DB4">
      <w:pPr>
        <w:numPr>
          <w:ilvl w:val="2"/>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1418" w:firstLine="0"/>
        <w:jc w:val="both"/>
      </w:pPr>
      <w:r>
        <w:rPr>
          <w:rFonts w:ascii="Arial" w:hAnsi="Arial" w:eastAsia="Arial" w:cs="Arial"/>
          <w:color w:val="000000"/>
          <w:sz w:val="20"/>
          <w:szCs w:val="20"/>
        </w:rPr>
        <w:t>O Termo de Referência;</w:t>
      </w:r>
    </w:p>
    <w:p w14:paraId="7C3B4BF6">
      <w:pPr>
        <w:numPr>
          <w:ilvl w:val="2"/>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1418"/>
        <w:jc w:val="both"/>
      </w:pPr>
      <w:r>
        <w:rPr>
          <w:rFonts w:ascii="Arial" w:hAnsi="Arial" w:eastAsia="Arial" w:cs="Arial"/>
          <w:color w:val="000000"/>
          <w:sz w:val="20"/>
          <w:szCs w:val="20"/>
        </w:rPr>
        <w:t>A Proposta do contratado;</w:t>
      </w:r>
    </w:p>
    <w:p w14:paraId="09DE1A07">
      <w:pPr>
        <w:numPr>
          <w:ilvl w:val="2"/>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1418"/>
        <w:jc w:val="both"/>
      </w:pPr>
      <w:r>
        <w:rPr>
          <w:rFonts w:ascii="Arial" w:hAnsi="Arial" w:eastAsia="Arial" w:cs="Arial"/>
          <w:color w:val="000000"/>
          <w:sz w:val="20"/>
          <w:szCs w:val="20"/>
        </w:rPr>
        <w:t>Eventuais anexos dos documentos supracitados.</w:t>
      </w:r>
    </w:p>
    <w:p w14:paraId="2899232F">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jc w:val="both"/>
        <w:rPr>
          <w:rFonts w:ascii="Arial" w:hAnsi="Arial" w:eastAsia="Arial" w:cs="Arial"/>
          <w:color w:val="FFFFFF"/>
          <w:sz w:val="20"/>
          <w:szCs w:val="20"/>
        </w:rPr>
      </w:pPr>
      <w:r>
        <w:rPr>
          <w:rFonts w:ascii="Arial" w:hAnsi="Arial" w:eastAsia="Arial" w:cs="Arial"/>
          <w:b/>
          <w:color w:val="000000"/>
          <w:sz w:val="20"/>
          <w:szCs w:val="20"/>
        </w:rPr>
        <w:tab/>
      </w:r>
      <w:r>
        <w:rPr>
          <w:rFonts w:ascii="Arial" w:hAnsi="Arial" w:eastAsia="Arial" w:cs="Arial"/>
          <w:b/>
          <w:color w:val="000000"/>
          <w:sz w:val="20"/>
          <w:szCs w:val="20"/>
        </w:rPr>
        <w:t>CLÁUSULA SEGUNDA – VIGÊNCIA E PRORROGAÇÃO</w:t>
      </w:r>
    </w:p>
    <w:p w14:paraId="57A66FB8">
      <w:pPr>
        <w:pStyle w:val="21"/>
        <w:numPr>
          <w:ilvl w:val="0"/>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rial" w:hAnsi="Arial" w:eastAsia="Arial" w:cs="Arial"/>
          <w:i/>
          <w:vanish/>
          <w:color w:val="FF0000"/>
          <w:sz w:val="20"/>
          <w:szCs w:val="20"/>
        </w:rPr>
      </w:pPr>
    </w:p>
    <w:p w14:paraId="15E79519">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commentRangeStart w:id="1"/>
      <w:r>
        <w:rPr>
          <w:rFonts w:ascii="Arial" w:hAnsi="Arial" w:eastAsia="Arial" w:cs="Arial"/>
          <w:i/>
          <w:color w:val="FF0000"/>
          <w:sz w:val="20"/>
          <w:szCs w:val="20"/>
        </w:rPr>
        <w:t xml:space="preserve">O prazo de vigência da contratação é de .............................. contados do(a) ............................., </w:t>
      </w:r>
      <w:r>
        <w:rPr>
          <w:rFonts w:ascii="Arial" w:hAnsi="Arial" w:cs="Arial" w:eastAsiaTheme="minorEastAsia"/>
          <w:i/>
          <w:color w:val="FF0000"/>
          <w:sz w:val="20"/>
          <w:szCs w:val="20"/>
        </w:rPr>
        <w:t>na</w:t>
      </w:r>
      <w:r>
        <w:rPr>
          <w:rFonts w:ascii="Arial" w:hAnsi="Arial" w:eastAsia="Arial" w:cs="Arial"/>
          <w:i/>
          <w:color w:val="FF0000"/>
          <w:sz w:val="20"/>
          <w:szCs w:val="20"/>
        </w:rPr>
        <w:t xml:space="preserve"> forma do artigo 105 da Lei n° 14.133, de 2021.</w:t>
      </w:r>
    </w:p>
    <w:p w14:paraId="704F9D72">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i/>
          <w:color w:val="FF0000"/>
          <w:sz w:val="20"/>
          <w:szCs w:val="20"/>
        </w:rPr>
        <w:t>O prazo de vigência será automaticamente prorrogado, independentemente de termo aditivo, quando o objeto não for concluído no período firmado acima, ressalvadas as providências cabíveis no caso de culpa do contratado, previstas neste instrumento.</w:t>
      </w:r>
      <w:commentRangeEnd w:id="1"/>
      <w:r>
        <w:commentReference w:id="1"/>
      </w:r>
    </w:p>
    <w:p w14:paraId="3958158D">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jc w:val="both"/>
        <w:rPr>
          <w:rFonts w:ascii="Arial" w:hAnsi="Arial" w:eastAsia="Arial" w:cs="Arial"/>
          <w:color w:val="FFFFFF"/>
          <w:sz w:val="20"/>
          <w:szCs w:val="20"/>
        </w:rPr>
      </w:pPr>
      <w:bookmarkStart w:id="0" w:name="_gjdgxs" w:colFirst="0" w:colLast="0"/>
      <w:bookmarkEnd w:id="0"/>
      <w:r>
        <w:rPr>
          <w:rFonts w:ascii="Arial" w:hAnsi="Arial" w:eastAsia="Arial" w:cs="Arial"/>
          <w:b/>
          <w:color w:val="000000"/>
          <w:sz w:val="20"/>
          <w:szCs w:val="20"/>
        </w:rPr>
        <w:tab/>
      </w:r>
      <w:r>
        <w:rPr>
          <w:rFonts w:ascii="Arial" w:hAnsi="Arial" w:eastAsia="Arial" w:cs="Arial"/>
          <w:b/>
          <w:color w:val="000000"/>
          <w:sz w:val="20"/>
          <w:szCs w:val="20"/>
        </w:rPr>
        <w:t>CLÁUSULA TERCEIRA – MODELOS DE EXECUÇÃO E GESTÃO CONTRATUAIS (</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80"/>
          <w:sz w:val="20"/>
          <w:szCs w:val="20"/>
          <w:u w:val="single"/>
        </w:rPr>
        <w:t>art. 92, IV, VII e XVIII)</w:t>
      </w:r>
      <w:r>
        <w:rPr>
          <w:rFonts w:ascii="Arial" w:hAnsi="Arial" w:eastAsia="Arial" w:cs="Arial"/>
          <w:b/>
          <w:color w:val="000080"/>
          <w:sz w:val="20"/>
          <w:szCs w:val="20"/>
          <w:u w:val="single"/>
        </w:rPr>
        <w:fldChar w:fldCharType="end"/>
      </w:r>
    </w:p>
    <w:p w14:paraId="5820F64C">
      <w:pPr>
        <w:pStyle w:val="21"/>
        <w:numPr>
          <w:ilvl w:val="0"/>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rial" w:hAnsi="Arial" w:eastAsia="Arial" w:cs="Arial"/>
          <w:vanish/>
          <w:color w:val="000000"/>
          <w:sz w:val="20"/>
          <w:szCs w:val="20"/>
        </w:rPr>
      </w:pPr>
    </w:p>
    <w:p w14:paraId="033F94DF">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O regime de execução contratual, os modelos de gestão e de execução, assim como os prazos e condições de conclusão, entrega, observação e recebimento do objeto constam no Termo de Referência, anexo a este Contrato.</w:t>
      </w:r>
    </w:p>
    <w:p w14:paraId="393EEFE6">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jc w:val="both"/>
        <w:rPr>
          <w:rFonts w:ascii="Arial" w:hAnsi="Arial" w:eastAsia="Arial" w:cs="Arial"/>
          <w:color w:val="FFFFFF"/>
          <w:sz w:val="20"/>
          <w:szCs w:val="20"/>
        </w:rPr>
      </w:pPr>
      <w:r>
        <w:rPr>
          <w:rFonts w:ascii="Arial" w:hAnsi="Arial" w:eastAsia="Arial" w:cs="Arial"/>
          <w:b/>
          <w:color w:val="000000"/>
          <w:sz w:val="20"/>
          <w:szCs w:val="20"/>
        </w:rPr>
        <w:tab/>
      </w:r>
      <w:r>
        <w:rPr>
          <w:rFonts w:ascii="Arial" w:hAnsi="Arial" w:eastAsia="Arial" w:cs="Arial"/>
          <w:b/>
          <w:color w:val="000000"/>
          <w:sz w:val="20"/>
          <w:szCs w:val="20"/>
        </w:rPr>
        <w:t xml:space="preserve">CLÁUSULA QUARTA – </w:t>
      </w:r>
      <w:commentRangeStart w:id="2"/>
      <w:r>
        <w:rPr>
          <w:rFonts w:ascii="Arial" w:hAnsi="Arial" w:eastAsia="Arial" w:cs="Arial"/>
          <w:b/>
          <w:color w:val="000000"/>
          <w:sz w:val="20"/>
          <w:szCs w:val="20"/>
        </w:rPr>
        <w:t>SUBCONTRATAÇÃO</w:t>
      </w:r>
      <w:commentRangeEnd w:id="2"/>
      <w:r>
        <w:commentReference w:id="2"/>
      </w:r>
    </w:p>
    <w:p w14:paraId="0C0D4752">
      <w:pPr>
        <w:pStyle w:val="21"/>
        <w:numPr>
          <w:ilvl w:val="0"/>
          <w:numId w:val="2"/>
        </w:numPr>
        <w:spacing w:before="120" w:after="120" w:line="276" w:lineRule="auto"/>
        <w:contextualSpacing w:val="0"/>
        <w:jc w:val="both"/>
        <w:rPr>
          <w:rFonts w:ascii="Arial" w:hAnsi="Arial" w:cs="Arial" w:eastAsiaTheme="minorEastAsia"/>
          <w:i/>
          <w:iCs/>
          <w:vanish/>
          <w:color w:val="FF0000"/>
          <w:sz w:val="20"/>
          <w:szCs w:val="20"/>
        </w:rPr>
      </w:pPr>
    </w:p>
    <w:p w14:paraId="3E862FEF">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cs="Arial" w:eastAsiaTheme="minorEastAsia"/>
          <w:i/>
          <w:color w:val="FF0000"/>
          <w:sz w:val="20"/>
          <w:szCs w:val="20"/>
        </w:rPr>
        <w:t>Não</w:t>
      </w:r>
      <w:r>
        <w:rPr>
          <w:rFonts w:ascii="Arial" w:hAnsi="Arial" w:eastAsia="Arial" w:cs="Arial"/>
          <w:i/>
          <w:color w:val="FF0000"/>
          <w:sz w:val="20"/>
          <w:szCs w:val="20"/>
        </w:rPr>
        <w:t xml:space="preserve"> será admitida a subcontratação do objeto contratual.</w:t>
      </w:r>
    </w:p>
    <w:p w14:paraId="3CE9CB73">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jc w:val="both"/>
        <w:rPr>
          <w:rFonts w:ascii="Arial" w:hAnsi="Arial" w:eastAsia="Arial" w:cs="Arial"/>
          <w:color w:val="FFFFFF"/>
          <w:sz w:val="20"/>
          <w:szCs w:val="20"/>
        </w:rPr>
      </w:pPr>
      <w:r>
        <w:rPr>
          <w:rFonts w:ascii="Arial" w:hAnsi="Arial" w:eastAsia="Arial" w:cs="Arial"/>
          <w:b/>
          <w:color w:val="000000"/>
          <w:sz w:val="20"/>
          <w:szCs w:val="20"/>
        </w:rPr>
        <w:tab/>
      </w:r>
      <w:r>
        <w:rPr>
          <w:rFonts w:ascii="Arial" w:hAnsi="Arial" w:eastAsia="Arial" w:cs="Arial"/>
          <w:b/>
          <w:color w:val="000000"/>
          <w:sz w:val="20"/>
          <w:szCs w:val="20"/>
        </w:rPr>
        <w:t>CLÁUSULA QUINTA – PREÇO (</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80"/>
          <w:sz w:val="20"/>
          <w:szCs w:val="20"/>
          <w:u w:val="single"/>
        </w:rPr>
        <w:t>art. 92, V</w:t>
      </w:r>
      <w:r>
        <w:rPr>
          <w:rFonts w:ascii="Arial" w:hAnsi="Arial" w:eastAsia="Arial" w:cs="Arial"/>
          <w:b/>
          <w:color w:val="000080"/>
          <w:sz w:val="20"/>
          <w:szCs w:val="20"/>
          <w:u w:val="single"/>
        </w:rPr>
        <w:fldChar w:fldCharType="end"/>
      </w:r>
      <w:r>
        <w:rPr>
          <w:rFonts w:ascii="Arial" w:hAnsi="Arial" w:eastAsia="Arial" w:cs="Arial"/>
          <w:b/>
          <w:color w:val="000000"/>
          <w:sz w:val="20"/>
          <w:szCs w:val="20"/>
        </w:rPr>
        <w:t>)</w:t>
      </w:r>
    </w:p>
    <w:p w14:paraId="07C4847C">
      <w:pPr>
        <w:pStyle w:val="21"/>
        <w:numPr>
          <w:ilvl w:val="0"/>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rial" w:hAnsi="Arial" w:eastAsia="Arial" w:cs="Arial"/>
          <w:i/>
          <w:vanish/>
          <w:color w:val="FF0000"/>
          <w:sz w:val="20"/>
          <w:szCs w:val="20"/>
        </w:rPr>
      </w:pPr>
    </w:p>
    <w:p w14:paraId="702EDCA2">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1152"/>
        <w:jc w:val="both"/>
      </w:pPr>
      <w:commentRangeStart w:id="3"/>
      <w:r>
        <w:rPr>
          <w:rFonts w:ascii="Arial" w:hAnsi="Arial" w:eastAsia="Arial" w:cs="Arial"/>
          <w:i/>
          <w:color w:val="FF0000"/>
          <w:sz w:val="20"/>
          <w:szCs w:val="20"/>
        </w:rPr>
        <w:t>O valor mensal da contratação é de R$ .......... (.....), perfazendo o valor total de R$ ....... (....).</w:t>
      </w:r>
    </w:p>
    <w:p w14:paraId="50D3153B">
      <w:pPr>
        <w:pBdr>
          <w:top w:val="none" w:color="auto" w:sz="0" w:space="0"/>
          <w:left w:val="none" w:color="auto" w:sz="0" w:space="0"/>
          <w:bottom w:val="none" w:color="auto" w:sz="0" w:space="0"/>
          <w:right w:val="none" w:color="auto" w:sz="0" w:space="0"/>
          <w:between w:val="none" w:color="auto" w:sz="0" w:space="0"/>
        </w:pBdr>
        <w:spacing w:before="60" w:after="60" w:line="259" w:lineRule="auto"/>
        <w:ind w:firstLine="720"/>
        <w:jc w:val="center"/>
        <w:rPr>
          <w:rFonts w:ascii="Arial" w:hAnsi="Arial" w:eastAsia="Arial" w:cs="Arial"/>
          <w:b/>
          <w:i/>
          <w:color w:val="FF0000"/>
          <w:u w:val="single"/>
        </w:rPr>
      </w:pPr>
      <w:r>
        <w:rPr>
          <w:rFonts w:ascii="Arial" w:hAnsi="Arial" w:eastAsia="Arial" w:cs="Arial"/>
          <w:b/>
          <w:i/>
          <w:color w:val="FF0000"/>
          <w:u w:val="single"/>
        </w:rPr>
        <w:t>OU</w:t>
      </w:r>
    </w:p>
    <w:p w14:paraId="4CE2654E">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i/>
          <w:color w:val="FF0000"/>
          <w:sz w:val="20"/>
          <w:szCs w:val="20"/>
        </w:rPr>
        <w:t>O valor total da contratação é de R$.......... (.....)</w:t>
      </w:r>
      <w:commentRangeEnd w:id="3"/>
      <w:r>
        <w:commentReference w:id="3"/>
      </w:r>
    </w:p>
    <w:p w14:paraId="24553841">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45BE40F">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jc w:val="both"/>
        <w:rPr>
          <w:rFonts w:ascii="Arial" w:hAnsi="Arial" w:eastAsia="Arial" w:cs="Arial"/>
          <w:color w:val="FFFFFF"/>
          <w:sz w:val="20"/>
          <w:szCs w:val="20"/>
        </w:rPr>
      </w:pPr>
      <w:r>
        <w:rPr>
          <w:rFonts w:ascii="Arial" w:hAnsi="Arial" w:eastAsia="Arial" w:cs="Arial"/>
          <w:b/>
          <w:color w:val="000000"/>
          <w:sz w:val="20"/>
          <w:szCs w:val="20"/>
        </w:rPr>
        <w:tab/>
      </w:r>
      <w:r>
        <w:rPr>
          <w:rFonts w:ascii="Arial" w:hAnsi="Arial" w:eastAsia="Arial" w:cs="Arial"/>
          <w:b/>
          <w:color w:val="000000"/>
          <w:sz w:val="20"/>
          <w:szCs w:val="20"/>
        </w:rPr>
        <w:t>CLÁUSULA SEXTA - PAGAMENTO (</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80"/>
          <w:sz w:val="20"/>
          <w:szCs w:val="20"/>
          <w:u w:val="single"/>
        </w:rPr>
        <w:t>art. 92, V e VI</w:t>
      </w:r>
      <w:r>
        <w:rPr>
          <w:rFonts w:ascii="Arial" w:hAnsi="Arial" w:eastAsia="Arial" w:cs="Arial"/>
          <w:b/>
          <w:color w:val="000080"/>
          <w:sz w:val="20"/>
          <w:szCs w:val="20"/>
          <w:u w:val="single"/>
        </w:rPr>
        <w:fldChar w:fldCharType="end"/>
      </w:r>
      <w:r>
        <w:rPr>
          <w:rFonts w:ascii="Arial" w:hAnsi="Arial" w:eastAsia="Arial" w:cs="Arial"/>
          <w:b/>
          <w:color w:val="000000"/>
          <w:sz w:val="20"/>
          <w:szCs w:val="20"/>
        </w:rPr>
        <w:t>)</w:t>
      </w:r>
    </w:p>
    <w:p w14:paraId="01EBD45C">
      <w:pPr>
        <w:pStyle w:val="21"/>
        <w:numPr>
          <w:ilvl w:val="0"/>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rial" w:hAnsi="Arial" w:eastAsia="Arial" w:cs="Arial"/>
          <w:vanish/>
          <w:color w:val="000000"/>
          <w:sz w:val="20"/>
          <w:szCs w:val="20"/>
        </w:rPr>
      </w:pPr>
    </w:p>
    <w:p w14:paraId="04491A79">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O prazo para pagamento ao contratado e demais condições a ele referentes encontram-se definidos no Termo de Referência, anexo a este Contrato.</w:t>
      </w:r>
    </w:p>
    <w:p w14:paraId="038953BA">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jc w:val="both"/>
        <w:rPr>
          <w:rFonts w:ascii="Arial" w:hAnsi="Arial" w:eastAsia="Arial" w:cs="Arial"/>
          <w:color w:val="FFFFFF"/>
          <w:sz w:val="20"/>
          <w:szCs w:val="20"/>
        </w:rPr>
      </w:pPr>
      <w:r>
        <w:rPr>
          <w:rFonts w:ascii="Arial" w:hAnsi="Arial" w:eastAsia="Arial" w:cs="Arial"/>
          <w:b/>
          <w:color w:val="000000"/>
          <w:sz w:val="20"/>
          <w:szCs w:val="20"/>
        </w:rPr>
        <w:tab/>
      </w:r>
      <w:commentRangeStart w:id="4"/>
      <w:r>
        <w:rPr>
          <w:rFonts w:ascii="Arial" w:hAnsi="Arial" w:eastAsia="Arial" w:cs="Arial"/>
          <w:b/>
          <w:color w:val="000000"/>
          <w:sz w:val="20"/>
          <w:szCs w:val="20"/>
        </w:rPr>
        <w:t>CLÁUSULA SÉTIMA - REAJUSTE (</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80"/>
          <w:sz w:val="20"/>
          <w:szCs w:val="20"/>
          <w:u w:val="single"/>
        </w:rPr>
        <w:t>art. 92, V</w:t>
      </w:r>
      <w:r>
        <w:rPr>
          <w:rFonts w:ascii="Arial" w:hAnsi="Arial" w:eastAsia="Arial" w:cs="Arial"/>
          <w:b/>
          <w:color w:val="000080"/>
          <w:sz w:val="20"/>
          <w:szCs w:val="20"/>
          <w:u w:val="single"/>
        </w:rPr>
        <w:fldChar w:fldCharType="end"/>
      </w:r>
      <w:r>
        <w:rPr>
          <w:rFonts w:ascii="Arial" w:hAnsi="Arial" w:eastAsia="Arial" w:cs="Arial"/>
          <w:b/>
          <w:color w:val="000000"/>
          <w:sz w:val="20"/>
          <w:szCs w:val="20"/>
        </w:rPr>
        <w:t>)</w:t>
      </w:r>
      <w:commentRangeEnd w:id="4"/>
      <w:r>
        <w:commentReference w:id="4"/>
      </w:r>
    </w:p>
    <w:p w14:paraId="59299D0B">
      <w:pPr>
        <w:pStyle w:val="21"/>
        <w:numPr>
          <w:ilvl w:val="0"/>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rial" w:hAnsi="Arial" w:eastAsia="Arial" w:cs="Arial"/>
          <w:vanish/>
          <w:color w:val="000000"/>
          <w:sz w:val="20"/>
          <w:szCs w:val="20"/>
        </w:rPr>
      </w:pPr>
    </w:p>
    <w:p w14:paraId="465DA9C9">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 xml:space="preserve">Os preços inicialmente contratados são fixos e irreajustáveis no prazo de um ano contado da data do orçamento estimado, em </w:t>
      </w:r>
      <w:r>
        <w:rPr>
          <w:rFonts w:ascii="Arial" w:hAnsi="Arial" w:eastAsia="Arial" w:cs="Arial"/>
          <w:i/>
          <w:color w:val="FF0000"/>
          <w:sz w:val="20"/>
          <w:szCs w:val="20"/>
        </w:rPr>
        <w:t>__/__/__ (DD/MM/AAAA)</w:t>
      </w:r>
      <w:r>
        <w:rPr>
          <w:rFonts w:ascii="Arial" w:hAnsi="Arial" w:eastAsia="Arial" w:cs="Arial"/>
          <w:color w:val="000000"/>
          <w:sz w:val="20"/>
          <w:szCs w:val="20"/>
        </w:rPr>
        <w:t>.</w:t>
      </w:r>
    </w:p>
    <w:p w14:paraId="12476C19">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bookmarkStart w:id="1" w:name="_30j0zll" w:colFirst="0" w:colLast="0"/>
      <w:bookmarkEnd w:id="1"/>
      <w:commentRangeStart w:id="5"/>
      <w:r>
        <w:rPr>
          <w:rFonts w:ascii="Arial" w:hAnsi="Arial" w:eastAsia="Arial" w:cs="Arial"/>
          <w:color w:val="000000"/>
          <w:sz w:val="20"/>
          <w:szCs w:val="20"/>
        </w:rPr>
        <w:t xml:space="preserve">Após o interregno de um ano, e independentemente de pedido do </w:t>
      </w:r>
      <w:commentRangeStart w:id="6"/>
      <w:r>
        <w:rPr>
          <w:rFonts w:ascii="Arial" w:hAnsi="Arial" w:eastAsia="Arial" w:cs="Arial"/>
          <w:color w:val="000000"/>
          <w:sz w:val="20"/>
          <w:szCs w:val="20"/>
        </w:rPr>
        <w:t>contratado</w:t>
      </w:r>
      <w:commentRangeEnd w:id="6"/>
      <w:r>
        <w:commentReference w:id="6"/>
      </w:r>
      <w:r>
        <w:rPr>
          <w:rFonts w:ascii="Arial" w:hAnsi="Arial" w:eastAsia="Arial" w:cs="Arial"/>
          <w:color w:val="000000"/>
          <w:sz w:val="20"/>
          <w:szCs w:val="20"/>
        </w:rPr>
        <w:t xml:space="preserve">, os preços iniciais serão reajustados, mediante a aplicação, pelo contratante, do índice </w:t>
      </w:r>
      <w:r>
        <w:rPr>
          <w:rFonts w:ascii="Arial" w:hAnsi="Arial" w:eastAsia="Arial" w:cs="Arial"/>
          <w:color w:val="FF0000"/>
          <w:sz w:val="20"/>
          <w:szCs w:val="20"/>
        </w:rPr>
        <w:t xml:space="preserve">___________ </w:t>
      </w:r>
      <w:r>
        <w:rPr>
          <w:rFonts w:ascii="Arial" w:hAnsi="Arial" w:eastAsia="Arial" w:cs="Arial"/>
          <w:i/>
          <w:color w:val="FF0000"/>
          <w:sz w:val="20"/>
          <w:szCs w:val="20"/>
        </w:rPr>
        <w:t>(indicar o índice a ser adotado</w:t>
      </w:r>
      <w:r>
        <w:rPr>
          <w:rFonts w:ascii="Arial" w:hAnsi="Arial" w:eastAsia="Arial" w:cs="Arial"/>
          <w:i/>
          <w:color w:val="000000"/>
          <w:sz w:val="20"/>
          <w:szCs w:val="20"/>
        </w:rPr>
        <w:t>),</w:t>
      </w:r>
      <w:r>
        <w:rPr>
          <w:rFonts w:ascii="Arial" w:hAnsi="Arial" w:eastAsia="Arial" w:cs="Arial"/>
          <w:color w:val="000000"/>
          <w:sz w:val="20"/>
          <w:szCs w:val="20"/>
        </w:rPr>
        <w:t xml:space="preserve"> exclusivamente para as obrigações iniciadas e concluídas após a ocorrência da anualidade</w:t>
      </w:r>
      <w:commentRangeEnd w:id="5"/>
      <w:r>
        <w:commentReference w:id="5"/>
      </w:r>
      <w:r>
        <w:rPr>
          <w:rFonts w:ascii="Arial" w:hAnsi="Arial" w:eastAsia="Arial" w:cs="Arial"/>
          <w:color w:val="000000"/>
          <w:sz w:val="20"/>
          <w:szCs w:val="20"/>
        </w:rPr>
        <w:t>.</w:t>
      </w:r>
    </w:p>
    <w:p w14:paraId="590ABA05">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Nos reajustes subsequentes ao primeiro, o interregno mínimo de um ano será contado a partir dos efeitos financeiros do último reajuste.</w:t>
      </w:r>
    </w:p>
    <w:p w14:paraId="0B8F41D6">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11DD776D">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Nas aferições finais, o(s) índice(s) utilizado(s) para reajuste será(ão), obrigatoriamente, o(s) definitivo(s).</w:t>
      </w:r>
    </w:p>
    <w:p w14:paraId="783B4B6A">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Caso o(s) índice(s) estabelecido(s) para reajustamento venha(m) a ser extinto(s) ou de qualquer forma não possa(m) mais ser utilizado(s), será(ão) adotado(s), em substituição, o(s) que vier(em) a ser determinado(s) pela legislação então em vigor.</w:t>
      </w:r>
    </w:p>
    <w:p w14:paraId="15C911E7">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 xml:space="preserve">Na ausência de previsão legal quanto ao índice substituto, as partes elegerão novo índice oficial, para reajustamento do preço do valor remanescente, por meio de termo aditivo. </w:t>
      </w:r>
    </w:p>
    <w:p w14:paraId="5DC09013">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O reajuste será realizado por apostilamento.</w:t>
      </w:r>
    </w:p>
    <w:p w14:paraId="3F641BD8">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jc w:val="both"/>
        <w:rPr>
          <w:rFonts w:ascii="Arial" w:hAnsi="Arial" w:eastAsia="Arial" w:cs="Arial"/>
          <w:color w:val="FFFFFF"/>
          <w:sz w:val="20"/>
          <w:szCs w:val="20"/>
        </w:rPr>
      </w:pPr>
      <w:r>
        <w:rPr>
          <w:rFonts w:ascii="Arial" w:hAnsi="Arial" w:eastAsia="Arial" w:cs="Arial"/>
          <w:b/>
          <w:color w:val="000000"/>
          <w:sz w:val="20"/>
          <w:szCs w:val="20"/>
        </w:rPr>
        <w:tab/>
      </w:r>
      <w:r>
        <w:rPr>
          <w:rFonts w:ascii="Arial" w:hAnsi="Arial" w:eastAsia="Arial" w:cs="Arial"/>
          <w:b/>
          <w:color w:val="000000"/>
          <w:sz w:val="20"/>
          <w:szCs w:val="20"/>
        </w:rPr>
        <w:t xml:space="preserve">CLÁUSULA OITAVA - OBRIGAÇÕES DO CONTRATANTE </w:t>
      </w:r>
      <w:commentRangeStart w:id="7"/>
      <w:r>
        <w:fldChar w:fldCharType="begin"/>
      </w:r>
      <w:r>
        <w:instrText xml:space="preserve">HYPERLINK "http://www.planalto.gov.br/ccivil_03/_ato2019-2022/2021/lei/L14133.htm" \l "art92" \h</w:instrText>
      </w:r>
      <w:r>
        <w:fldChar w:fldCharType="separate"/>
      </w:r>
      <w:r>
        <w:rPr>
          <w:rFonts w:ascii="Arial" w:hAnsi="Arial" w:eastAsia="Arial" w:cs="Arial"/>
          <w:b/>
          <w:color w:val="000080"/>
          <w:sz w:val="20"/>
          <w:szCs w:val="20"/>
          <w:u w:val="single"/>
        </w:rPr>
        <w:t>(art. 92, X, XI e XIV</w:t>
      </w:r>
      <w:r>
        <w:rPr>
          <w:rFonts w:ascii="Arial" w:hAnsi="Arial" w:eastAsia="Arial" w:cs="Arial"/>
          <w:b/>
          <w:color w:val="000080"/>
          <w:sz w:val="20"/>
          <w:szCs w:val="20"/>
          <w:u w:val="single"/>
        </w:rPr>
        <w:fldChar w:fldCharType="end"/>
      </w:r>
      <w:commentRangeEnd w:id="7"/>
      <w:r>
        <w:commentReference w:id="7"/>
      </w:r>
      <w:r>
        <w:rPr>
          <w:rFonts w:ascii="Arial" w:hAnsi="Arial" w:eastAsia="Arial" w:cs="Arial"/>
          <w:b/>
          <w:color w:val="000000"/>
          <w:sz w:val="20"/>
          <w:szCs w:val="20"/>
        </w:rPr>
        <w:t>)</w:t>
      </w:r>
    </w:p>
    <w:p w14:paraId="6C1A8E5C">
      <w:pPr>
        <w:pStyle w:val="21"/>
        <w:numPr>
          <w:ilvl w:val="0"/>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rial" w:hAnsi="Arial" w:eastAsia="Arial" w:cs="Arial"/>
          <w:vanish/>
          <w:color w:val="000000"/>
          <w:sz w:val="20"/>
          <w:szCs w:val="20"/>
        </w:rPr>
      </w:pPr>
    </w:p>
    <w:p w14:paraId="7E8CF95E">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São obrigações do Contratante:</w:t>
      </w:r>
    </w:p>
    <w:p w14:paraId="01478B6E">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Exigir o cumprimento de todas as obrigações assumidas pelo Contratado, de acordo com o contrato e seus anexos;</w:t>
      </w:r>
    </w:p>
    <w:p w14:paraId="30BCAD3D">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Receber o objeto no prazo e condições estabelecidas no Termo de Referência;</w:t>
      </w:r>
    </w:p>
    <w:p w14:paraId="514ED26E">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Notificar o Contratado, por escrito, sobre vícios, defeitos ou incorreções verificadas no objeto fornecido, para que seja por ele substituído, reparado ou corrigido, no total ou em parte, às suas expensas;</w:t>
      </w:r>
    </w:p>
    <w:p w14:paraId="57EBA010">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Acompanhar e fiscalizar a execução do contrato e o cumprimento das obrigações pelo Contratado;</w:t>
      </w:r>
    </w:p>
    <w:p w14:paraId="05685CBC">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0FBA4063">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Efetuar o pagamento ao Contratado do valor correspondente à execução do objeto, no prazo, forma e condições estabelecidos no presente Contrato e no Termo de Referência;</w:t>
      </w:r>
    </w:p>
    <w:p w14:paraId="7744D042">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 xml:space="preserve">Aplicar ao Contratado as sanções previstas na lei e neste Contrato; </w:t>
      </w:r>
    </w:p>
    <w:p w14:paraId="25F659F5">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Cientificar o órgão de representação judicial da Advocacia-Geral da União para adoção das medidas cabíveis quando do descumprimento de obrigações pelo Contratado;</w:t>
      </w:r>
    </w:p>
    <w:p w14:paraId="76E5C7B8">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82BD521">
      <w:pPr>
        <w:numPr>
          <w:ilvl w:val="2"/>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1276"/>
        <w:jc w:val="both"/>
      </w:pPr>
      <w:r>
        <w:rPr>
          <w:rFonts w:ascii="Arial" w:hAnsi="Arial" w:eastAsia="Arial" w:cs="Arial"/>
          <w:color w:val="000000"/>
          <w:sz w:val="20"/>
          <w:szCs w:val="20"/>
        </w:rPr>
        <w:t xml:space="preserve"> </w:t>
      </w:r>
      <w:commentRangeStart w:id="8"/>
      <w:r>
        <w:rPr>
          <w:rFonts w:ascii="Arial" w:hAnsi="Arial" w:eastAsia="Arial" w:cs="Arial"/>
          <w:color w:val="000000"/>
          <w:sz w:val="20"/>
          <w:szCs w:val="20"/>
        </w:rPr>
        <w:t>A Administração terá o prazo de</w:t>
      </w:r>
      <w:r>
        <w:rPr>
          <w:rFonts w:ascii="Arial" w:hAnsi="Arial" w:eastAsia="Arial" w:cs="Arial"/>
          <w:i/>
          <w:color w:val="FF0000"/>
          <w:sz w:val="20"/>
          <w:szCs w:val="20"/>
        </w:rPr>
        <w:t xml:space="preserve"> XXXXXXX</w:t>
      </w:r>
      <w:r>
        <w:rPr>
          <w:rFonts w:ascii="Arial" w:hAnsi="Arial" w:eastAsia="Arial" w:cs="Arial"/>
          <w:color w:val="000000"/>
          <w:sz w:val="20"/>
          <w:szCs w:val="20"/>
        </w:rPr>
        <w:t xml:space="preserve">, a contar da data do protocolo do requerimento para decidir, admitida a prorrogação motivada, por igual período. </w:t>
      </w:r>
      <w:commentRangeEnd w:id="8"/>
      <w:r>
        <w:commentReference w:id="8"/>
      </w:r>
    </w:p>
    <w:p w14:paraId="749C336B">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rial" w:hAnsi="Arial" w:eastAsia="Arial" w:cs="Arial"/>
        </w:rPr>
      </w:pPr>
      <w:commentRangeStart w:id="9"/>
      <w:r>
        <w:rPr>
          <w:rFonts w:ascii="Arial" w:hAnsi="Arial" w:eastAsia="Arial" w:cs="Arial"/>
          <w:color w:val="000000"/>
          <w:sz w:val="20"/>
          <w:szCs w:val="20"/>
        </w:rPr>
        <w:t xml:space="preserve">Responder eventuais pedidos de reestabelecimento do equilíbrio econômico-financeiro feitos pelo contratado no prazo máximo de </w:t>
      </w:r>
      <w:r>
        <w:rPr>
          <w:rFonts w:ascii="Arial" w:hAnsi="Arial" w:eastAsia="Arial" w:cs="Arial"/>
          <w:color w:val="FF0000"/>
          <w:sz w:val="20"/>
          <w:szCs w:val="20"/>
        </w:rPr>
        <w:t>XXXXXX.</w:t>
      </w:r>
      <w:commentRangeEnd w:id="9"/>
      <w:r>
        <w:commentReference w:id="9"/>
      </w:r>
    </w:p>
    <w:p w14:paraId="276D874F">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bookmarkStart w:id="2" w:name="_1fob9te" w:colFirst="0" w:colLast="0"/>
      <w:bookmarkEnd w:id="2"/>
      <w:r>
        <w:rPr>
          <w:rFonts w:ascii="Arial" w:hAnsi="Arial" w:eastAsia="Arial" w:cs="Arial"/>
          <w:color w:val="000000"/>
          <w:sz w:val="20"/>
          <w:szCs w:val="20"/>
        </w:rPr>
        <w:t xml:space="preserve">Comunicar o Contratado na hipótese de posterior alteração do projeto pelo Contratante, no caso </w:t>
      </w:r>
      <w:r>
        <w:fldChar w:fldCharType="begin"/>
      </w:r>
      <w:r>
        <w:instrText xml:space="preserve"> HYPERLINK "http://www.planalto.gov.br/ccivil_03/_ato2019-2022/2021/lei/L14133.htm" \l "art93%C2%A72" \h </w:instrText>
      </w:r>
      <w:r>
        <w:fldChar w:fldCharType="separate"/>
      </w:r>
      <w:r>
        <w:rPr>
          <w:rFonts w:ascii="Arial" w:hAnsi="Arial" w:eastAsia="Arial" w:cs="Arial"/>
          <w:color w:val="000080"/>
          <w:sz w:val="20"/>
          <w:szCs w:val="20"/>
          <w:u w:val="single"/>
        </w:rPr>
        <w:t>do art. 93, §2º, da Lei nº 14.133, de 2021</w:t>
      </w:r>
      <w:r>
        <w:rPr>
          <w:rFonts w:ascii="Arial" w:hAnsi="Arial" w:eastAsia="Arial" w:cs="Arial"/>
          <w:color w:val="000080"/>
          <w:sz w:val="20"/>
          <w:szCs w:val="20"/>
          <w:u w:val="single"/>
        </w:rPr>
        <w:fldChar w:fldCharType="end"/>
      </w:r>
      <w:r>
        <w:rPr>
          <w:rFonts w:ascii="Arial" w:hAnsi="Arial" w:eastAsia="Arial" w:cs="Arial"/>
          <w:color w:val="000000"/>
          <w:sz w:val="20"/>
          <w:szCs w:val="20"/>
        </w:rPr>
        <w:t>.</w:t>
      </w:r>
    </w:p>
    <w:p w14:paraId="2FECA9DB">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53D0D54">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firstLine="414"/>
        <w:jc w:val="both"/>
        <w:rPr>
          <w:rFonts w:ascii="Arial" w:hAnsi="Arial" w:eastAsia="Arial" w:cs="Arial"/>
          <w:color w:val="FFFFFF"/>
          <w:sz w:val="20"/>
          <w:szCs w:val="20"/>
        </w:rPr>
      </w:pPr>
      <w:commentRangeStart w:id="10"/>
      <w:r>
        <w:rPr>
          <w:rFonts w:ascii="Arial" w:hAnsi="Arial" w:eastAsia="Arial" w:cs="Arial"/>
          <w:b/>
          <w:color w:val="000000"/>
          <w:sz w:val="20"/>
          <w:szCs w:val="20"/>
        </w:rPr>
        <w:t>CLÁUSULA NONA - OBRIGAÇÕES DO CONTRATADO (</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80"/>
          <w:sz w:val="20"/>
          <w:szCs w:val="20"/>
          <w:u w:val="single"/>
        </w:rPr>
        <w:t>art. 92, XIV, XVI e XVII</w:t>
      </w:r>
      <w:r>
        <w:rPr>
          <w:rFonts w:ascii="Arial" w:hAnsi="Arial" w:eastAsia="Arial" w:cs="Arial"/>
          <w:b/>
          <w:color w:val="000080"/>
          <w:sz w:val="20"/>
          <w:szCs w:val="20"/>
          <w:u w:val="single"/>
        </w:rPr>
        <w:fldChar w:fldCharType="end"/>
      </w:r>
      <w:r>
        <w:rPr>
          <w:rFonts w:ascii="Arial" w:hAnsi="Arial" w:eastAsia="Arial" w:cs="Arial"/>
          <w:b/>
          <w:color w:val="000000"/>
          <w:sz w:val="20"/>
          <w:szCs w:val="20"/>
        </w:rPr>
        <w:t>)</w:t>
      </w:r>
      <w:commentRangeEnd w:id="10"/>
      <w:r>
        <w:commentReference w:id="10"/>
      </w:r>
    </w:p>
    <w:p w14:paraId="31E67C5C">
      <w:pPr>
        <w:pStyle w:val="21"/>
        <w:numPr>
          <w:ilvl w:val="0"/>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rial" w:hAnsi="Arial" w:eastAsia="Arial" w:cs="Arial"/>
          <w:vanish/>
          <w:color w:val="000000"/>
          <w:sz w:val="20"/>
          <w:szCs w:val="20"/>
        </w:rPr>
      </w:pPr>
    </w:p>
    <w:p w14:paraId="32351008">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38B4C571">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Atender às determinações regulares emitidas pelo fiscal do contrato ou autoridade superior (</w:t>
      </w:r>
      <w:r>
        <w:fldChar w:fldCharType="begin"/>
      </w:r>
      <w:r>
        <w:instrText xml:space="preserve"> HYPERLINK "http://www.planalto.gov.br/ccivil_03/_ato2019-2022/2021/lei/L14133.htm" \l "art137" \h </w:instrText>
      </w:r>
      <w:r>
        <w:fldChar w:fldCharType="separate"/>
      </w:r>
      <w:r>
        <w:rPr>
          <w:rFonts w:ascii="Arial" w:hAnsi="Arial" w:eastAsia="Arial" w:cs="Arial"/>
          <w:color w:val="000080"/>
          <w:sz w:val="20"/>
          <w:szCs w:val="20"/>
          <w:u w:val="single"/>
        </w:rPr>
        <w:t>art. 137, II</w:t>
      </w:r>
      <w:r>
        <w:rPr>
          <w:rFonts w:ascii="Arial" w:hAnsi="Arial" w:eastAsia="Arial" w:cs="Arial"/>
          <w:color w:val="000080"/>
          <w:sz w:val="20"/>
          <w:szCs w:val="20"/>
          <w:u w:val="single"/>
        </w:rPr>
        <w:fldChar w:fldCharType="end"/>
      </w:r>
      <w:r>
        <w:rPr>
          <w:rFonts w:ascii="Arial" w:hAnsi="Arial" w:eastAsia="Arial" w:cs="Arial"/>
          <w:color w:val="000000"/>
          <w:sz w:val="20"/>
          <w:szCs w:val="20"/>
        </w:rPr>
        <w:t>) e prestar todo esclarecimento ou informação por eles solicitados;</w:t>
      </w:r>
    </w:p>
    <w:p w14:paraId="0A076548">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58C53DD7">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commentRangeStart w:id="11"/>
      <w:r>
        <w:rPr>
          <w:rFonts w:ascii="Arial" w:hAnsi="Arial" w:eastAsia="Arial" w:cs="Arial"/>
          <w:color w:val="000000"/>
          <w:sz w:val="20"/>
          <w:szCs w:val="20"/>
        </w:rPr>
        <w:t>Reparar, corrigir, remover, reconstruir ou substituir, às suas expensas, no total ou em parte, no prazo fixado pelo fiscal do contrato, os serviços nos quais se verificarem vícios, defeitos ou incorreções resultantes da execução ou dos materiais empregados;</w:t>
      </w:r>
      <w:commentRangeEnd w:id="11"/>
      <w:r>
        <w:commentReference w:id="11"/>
      </w:r>
    </w:p>
    <w:p w14:paraId="21E25446">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 xml:space="preserve">Responsabilizar-se pelos vícios e danos decorrentes da execução do objeto, de acordo com o </w:t>
      </w:r>
      <w:r>
        <w:fldChar w:fldCharType="begin"/>
      </w:r>
      <w:r>
        <w:instrText xml:space="preserve"> HYPERLINK "https://www.planalto.gov.br/ccivil_03/leis/l8078compilado.htm" \h </w:instrText>
      </w:r>
      <w:r>
        <w:fldChar w:fldCharType="separate"/>
      </w:r>
      <w:r>
        <w:rPr>
          <w:rFonts w:ascii="Arial" w:hAnsi="Arial" w:eastAsia="Arial" w:cs="Arial"/>
          <w:color w:val="000080"/>
          <w:sz w:val="20"/>
          <w:szCs w:val="20"/>
          <w:u w:val="single"/>
        </w:rPr>
        <w:t>Código de Defesa do Consumidor (Lei nº 8.078, de 1990</w:t>
      </w:r>
      <w:r>
        <w:rPr>
          <w:rFonts w:ascii="Arial" w:hAnsi="Arial" w:eastAsia="Arial" w:cs="Arial"/>
          <w:color w:val="000080"/>
          <w:sz w:val="20"/>
          <w:szCs w:val="20"/>
          <w:u w:val="single"/>
        </w:rPr>
        <w:fldChar w:fldCharType="end"/>
      </w:r>
      <w:r>
        <w:rPr>
          <w:rFonts w:ascii="Arial" w:hAnsi="Arial" w:eastAsia="Arial" w:cs="Arial"/>
          <w:color w:val="000000"/>
          <w:sz w:val="20"/>
          <w:szCs w:val="20"/>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02C7BBE1">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 xml:space="preserve">Não contratar, durante a vigência do contrato, cônjuge, companheiro ou parente em linha reta, colateral ou por afinidade, até o terceiro grau, de dirigente do contratante ou do fiscal ou gestor do contrato, nos termos do </w:t>
      </w:r>
      <w:r>
        <w:fldChar w:fldCharType="begin"/>
      </w:r>
      <w:r>
        <w:instrText xml:space="preserve"> HYPERLINK "http://www.planalto.gov.br/ccivil_03/_ato2019-2022/2021/lei/L14133.htm" \l "art48" \h </w:instrText>
      </w:r>
      <w:r>
        <w:fldChar w:fldCharType="separate"/>
      </w:r>
      <w:r>
        <w:rPr>
          <w:rFonts w:ascii="Arial" w:hAnsi="Arial" w:eastAsia="Arial" w:cs="Arial"/>
          <w:color w:val="000080"/>
          <w:sz w:val="20"/>
          <w:szCs w:val="20"/>
          <w:u w:val="single"/>
        </w:rPr>
        <w:t>artigo 48, parágrafo único, da Lei nº 14.133, de 2021</w:t>
      </w:r>
      <w:r>
        <w:rPr>
          <w:rFonts w:ascii="Arial" w:hAnsi="Arial" w:eastAsia="Arial" w:cs="Arial"/>
          <w:color w:val="000080"/>
          <w:sz w:val="20"/>
          <w:szCs w:val="20"/>
          <w:u w:val="single"/>
        </w:rPr>
        <w:fldChar w:fldCharType="end"/>
      </w:r>
      <w:r>
        <w:rPr>
          <w:rFonts w:ascii="Arial" w:hAnsi="Arial" w:eastAsia="Arial" w:cs="Arial"/>
          <w:color w:val="000000"/>
          <w:sz w:val="20"/>
          <w:szCs w:val="20"/>
        </w:rPr>
        <w:t>;</w:t>
      </w:r>
    </w:p>
    <w:p w14:paraId="437F4DED">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Q</w:t>
      </w:r>
      <w:commentRangeStart w:id="12"/>
      <w:r>
        <w:rPr>
          <w:rFonts w:ascii="Arial" w:hAnsi="Arial" w:eastAsia="Arial" w:cs="Arial"/>
          <w:color w:val="000000"/>
          <w:sz w:val="20"/>
          <w:szCs w:val="20"/>
        </w:rPr>
        <w:t xml:space="preserve">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commentRangeEnd w:id="12"/>
      <w:r>
        <w:commentReference w:id="12"/>
      </w:r>
    </w:p>
    <w:p w14:paraId="05DD56DE">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Comunicar ao Fiscal do contrato, no prazo de 24 (vinte e quatro) horas, qualquer ocorrência anormal ou acidente que se verifique no local dos serviços.</w:t>
      </w:r>
    </w:p>
    <w:p w14:paraId="175A3DFF">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Prestar todo esclarecimento ou informação solicitada pelo Contratante ou por seus prepostos, garantindo-lhes o acesso, a qualquer tempo, ao local dos trabalhos, bem como aos documentos relativos à execução do empreendimento.</w:t>
      </w:r>
    </w:p>
    <w:p w14:paraId="7C090DB7">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Paralisar, por determinação do Contratante, qualquer atividade que não esteja sendo executada de acordo com a boa técnica ou que ponha em risco a segurança de pessoas ou bens de terceiros.</w:t>
      </w:r>
    </w:p>
    <w:p w14:paraId="02601A86">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Promover a guarda, manutenção e vigilância de materiais, ferramentas, e tudo o que for necessário à execução do objeto, durante a vigência do contrato.</w:t>
      </w:r>
    </w:p>
    <w:p w14:paraId="3BE62FAB">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08BF7451">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Submeter previamente, por escrito, ao Contratante, para análise e aprovação, quaisquer mudanças nos métodos executivos que fujam às especificações do memorial descritivo ou instrumento congênere.</w:t>
      </w:r>
    </w:p>
    <w:p w14:paraId="33DDEC97">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63CA3A4A">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 xml:space="preserve"> Manter durante toda a vigência do contrato, em compatibilidade com as obrigações assumidas, todas as condições exigidas para habilitação na licitação; </w:t>
      </w:r>
    </w:p>
    <w:p w14:paraId="602B1620">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rial" w:hAnsi="Arial" w:eastAsia="Arial" w:cs="Arial"/>
        </w:rPr>
      </w:pPr>
      <w:r>
        <w:rPr>
          <w:rFonts w:ascii="Arial" w:hAnsi="Arial" w:eastAsia="Arial" w:cs="Arial"/>
          <w:color w:val="000000"/>
          <w:sz w:val="20"/>
          <w:szCs w:val="20"/>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\h </w:instrText>
      </w:r>
      <w:r>
        <w:fldChar w:fldCharType="separate"/>
      </w:r>
      <w:r>
        <w:rPr>
          <w:rFonts w:ascii="Arial" w:hAnsi="Arial" w:eastAsia="Arial" w:cs="Arial"/>
          <w:color w:val="000080"/>
          <w:sz w:val="20"/>
          <w:szCs w:val="20"/>
          <w:u w:val="single"/>
        </w:rPr>
        <w:t>art. 116</w:t>
      </w:r>
      <w:r>
        <w:rPr>
          <w:rFonts w:ascii="Arial" w:hAnsi="Arial" w:eastAsia="Arial" w:cs="Arial"/>
          <w:color w:val="000080"/>
          <w:sz w:val="20"/>
          <w:szCs w:val="20"/>
          <w:u w:val="single"/>
        </w:rPr>
        <w:fldChar w:fldCharType="end"/>
      </w:r>
      <w:r>
        <w:rPr>
          <w:rFonts w:ascii="Arial" w:hAnsi="Arial" w:eastAsia="Arial" w:cs="Arial"/>
          <w:color w:val="000000"/>
          <w:sz w:val="20"/>
          <w:szCs w:val="20"/>
        </w:rPr>
        <w:t>);</w:t>
      </w:r>
    </w:p>
    <w:p w14:paraId="6FFCC362">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\h </w:instrText>
      </w:r>
      <w:r>
        <w:fldChar w:fldCharType="separate"/>
      </w:r>
      <w:r>
        <w:rPr>
          <w:rFonts w:ascii="Arial" w:hAnsi="Arial" w:eastAsia="Arial" w:cs="Arial"/>
          <w:color w:val="000080"/>
          <w:sz w:val="20"/>
          <w:szCs w:val="20"/>
          <w:u w:val="single"/>
        </w:rPr>
        <w:t>art. 116, parágrafo único</w:t>
      </w:r>
      <w:r>
        <w:rPr>
          <w:rFonts w:ascii="Arial" w:hAnsi="Arial" w:eastAsia="Arial" w:cs="Arial"/>
          <w:color w:val="000080"/>
          <w:sz w:val="20"/>
          <w:szCs w:val="20"/>
          <w:u w:val="single"/>
        </w:rPr>
        <w:fldChar w:fldCharType="end"/>
      </w:r>
      <w:r>
        <w:rPr>
          <w:rFonts w:ascii="Arial" w:hAnsi="Arial" w:eastAsia="Arial" w:cs="Arial"/>
          <w:color w:val="000000"/>
          <w:sz w:val="20"/>
          <w:szCs w:val="20"/>
        </w:rPr>
        <w:t>);</w:t>
      </w:r>
    </w:p>
    <w:p w14:paraId="4EE066CF">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Guardar sigilo sobre todas as informações obtidas em decorrência do cumprimento do contrato;</w:t>
      </w:r>
    </w:p>
    <w:p w14:paraId="11D4F5BC">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\h </w:instrText>
      </w:r>
      <w:r>
        <w:fldChar w:fldCharType="separate"/>
      </w:r>
      <w:r>
        <w:rPr>
          <w:rFonts w:ascii="Arial" w:hAnsi="Arial" w:eastAsia="Arial" w:cs="Arial"/>
          <w:color w:val="000080"/>
          <w:sz w:val="20"/>
          <w:szCs w:val="20"/>
          <w:u w:val="single"/>
        </w:rPr>
        <w:t>art. 124, II, d, da Lei nº 14.133, de 2021</w:t>
      </w:r>
      <w:r>
        <w:rPr>
          <w:rFonts w:ascii="Arial" w:hAnsi="Arial" w:eastAsia="Arial" w:cs="Arial"/>
          <w:color w:val="000080"/>
          <w:sz w:val="20"/>
          <w:szCs w:val="20"/>
          <w:u w:val="single"/>
        </w:rPr>
        <w:fldChar w:fldCharType="end"/>
      </w:r>
      <w:r>
        <w:rPr>
          <w:rFonts w:ascii="Arial" w:hAnsi="Arial" w:eastAsia="Arial" w:cs="Arial"/>
          <w:color w:val="000000"/>
          <w:sz w:val="20"/>
          <w:szCs w:val="20"/>
        </w:rPr>
        <w:t>;</w:t>
      </w:r>
    </w:p>
    <w:p w14:paraId="31E3DB4E">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Cumprir, além dos postulados legais vigentes de âmbito federal, estadual ou municipal, as normas de segurança do Contratante;</w:t>
      </w:r>
    </w:p>
    <w:p w14:paraId="0D61070C">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jc w:val="both"/>
        <w:rPr>
          <w:rFonts w:ascii="Arial" w:hAnsi="Arial" w:eastAsia="Arial" w:cs="Arial"/>
          <w:color w:val="FFFFFF"/>
          <w:sz w:val="20"/>
          <w:szCs w:val="20"/>
        </w:rPr>
      </w:pPr>
      <w:r>
        <w:rPr>
          <w:rFonts w:ascii="Arial" w:hAnsi="Arial" w:eastAsia="Arial" w:cs="Arial"/>
          <w:b/>
          <w:color w:val="FF0000"/>
          <w:sz w:val="20"/>
          <w:szCs w:val="20"/>
        </w:rPr>
        <w:tab/>
      </w:r>
      <w:commentRangeStart w:id="13"/>
      <w:r>
        <w:rPr>
          <w:rFonts w:ascii="Arial" w:hAnsi="Arial" w:eastAsia="Arial" w:cs="Arial"/>
          <w:b/>
          <w:color w:val="FF0000"/>
          <w:sz w:val="20"/>
          <w:szCs w:val="20"/>
        </w:rPr>
        <w:t>CLÁUSULA DÉCIMA- OBRIGAÇÕES PERTINENTES À LGPD</w:t>
      </w:r>
      <w:commentRangeEnd w:id="13"/>
      <w:r>
        <w:commentReference w:id="13"/>
      </w:r>
    </w:p>
    <w:p w14:paraId="4A98AFC1">
      <w:pPr>
        <w:pStyle w:val="21"/>
        <w:numPr>
          <w:ilvl w:val="0"/>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rial" w:hAnsi="Arial" w:eastAsia="Arial" w:cs="Arial"/>
          <w:i/>
          <w:vanish/>
          <w:color w:val="FF0000"/>
          <w:sz w:val="20"/>
          <w:szCs w:val="20"/>
        </w:rPr>
      </w:pPr>
    </w:p>
    <w:p w14:paraId="5E580451">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i/>
          <w:color w:val="FF0000"/>
          <w:sz w:val="20"/>
          <w:szCs w:val="20"/>
        </w:rPr>
        <w:t xml:space="preserve">As partes deverão cumprir a </w:t>
      </w:r>
      <w:r>
        <w:fldChar w:fldCharType="begin"/>
      </w:r>
      <w:r>
        <w:instrText xml:space="preserve"> HYPERLINK "https://www.planalto.gov.br/ccivil_03/_ato2015-2018/2018/lei/l13709.htm" \h </w:instrText>
      </w:r>
      <w:r>
        <w:fldChar w:fldCharType="separate"/>
      </w:r>
      <w:r>
        <w:rPr>
          <w:rFonts w:ascii="Arial" w:hAnsi="Arial" w:eastAsia="Arial" w:cs="Arial"/>
          <w:i/>
          <w:color w:val="000080"/>
          <w:sz w:val="20"/>
          <w:szCs w:val="20"/>
          <w:u w:val="single"/>
        </w:rPr>
        <w:t>Lei nº 13.709, de 14 de agosto de 2018 (LGPD)</w:t>
      </w:r>
      <w:r>
        <w:rPr>
          <w:rFonts w:ascii="Arial" w:hAnsi="Arial" w:eastAsia="Arial" w:cs="Arial"/>
          <w:i/>
          <w:color w:val="000080"/>
          <w:sz w:val="20"/>
          <w:szCs w:val="20"/>
          <w:u w:val="single"/>
        </w:rPr>
        <w:fldChar w:fldCharType="end"/>
      </w:r>
      <w:r>
        <w:rPr>
          <w:rFonts w:ascii="Arial" w:hAnsi="Arial" w:eastAsia="Arial" w:cs="Arial"/>
          <w:i/>
          <w:color w:val="FF0000"/>
          <w:sz w:val="20"/>
          <w:szCs w:val="20"/>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71AA70AA">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i/>
          <w:color w:val="FF0000"/>
          <w:sz w:val="20"/>
          <w:szCs w:val="20"/>
        </w:rPr>
        <w:t xml:space="preserve">Os dados obtidos somente poderão ser utilizados para as finalidades que justificaram seu acesso e de acordo com a boa-fé e com os princípios do </w:t>
      </w:r>
      <w:r>
        <w:fldChar w:fldCharType="begin"/>
      </w:r>
      <w:r>
        <w:instrText xml:space="preserve"> HYPERLINK "https://www.planalto.gov.br/ccivil_03/_ato2015-2018/2018/lei/l13709.htm" \l "art6" \h </w:instrText>
      </w:r>
      <w:r>
        <w:fldChar w:fldCharType="separate"/>
      </w:r>
      <w:r>
        <w:rPr>
          <w:rFonts w:ascii="Arial" w:hAnsi="Arial" w:eastAsia="Arial" w:cs="Arial"/>
          <w:i/>
          <w:color w:val="000080"/>
          <w:sz w:val="20"/>
          <w:szCs w:val="20"/>
          <w:u w:val="single"/>
        </w:rPr>
        <w:t>art. 6º da LGPD</w:t>
      </w:r>
      <w:r>
        <w:rPr>
          <w:rFonts w:ascii="Arial" w:hAnsi="Arial" w:eastAsia="Arial" w:cs="Arial"/>
          <w:i/>
          <w:color w:val="000080"/>
          <w:sz w:val="20"/>
          <w:szCs w:val="20"/>
          <w:u w:val="single"/>
        </w:rPr>
        <w:fldChar w:fldCharType="end"/>
      </w:r>
      <w:r>
        <w:rPr>
          <w:rFonts w:ascii="Arial" w:hAnsi="Arial" w:eastAsia="Arial" w:cs="Arial"/>
          <w:i/>
          <w:color w:val="FF0000"/>
          <w:sz w:val="20"/>
          <w:szCs w:val="20"/>
        </w:rPr>
        <w:t xml:space="preserve">. </w:t>
      </w:r>
    </w:p>
    <w:p w14:paraId="32B11069">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i/>
          <w:color w:val="FF0000"/>
          <w:sz w:val="20"/>
          <w:szCs w:val="20"/>
        </w:rPr>
        <w:t>É vedado o compartilhamento com terceiros dos dados obtidos fora das hipóteses permitidas em Lei.</w:t>
      </w:r>
    </w:p>
    <w:p w14:paraId="4DCF604A">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i/>
          <w:color w:val="FF0000"/>
          <w:sz w:val="20"/>
          <w:szCs w:val="20"/>
        </w:rPr>
        <w:t xml:space="preserve">A Administração deverá ser informada no prazo de 5 (cinco) dias úteis sobre todos os contratos de suboperação firmados ou que venham a ser celebrados pelo Contratado. </w:t>
      </w:r>
    </w:p>
    <w:p w14:paraId="27ADD00D">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i/>
          <w:color w:val="FF0000"/>
          <w:sz w:val="20"/>
          <w:szCs w:val="20"/>
        </w:rPr>
        <w:t xml:space="preserve">Terminado o tratamento dos dados nos termos do </w:t>
      </w:r>
      <w:r>
        <w:fldChar w:fldCharType="begin"/>
      </w:r>
      <w:r>
        <w:instrText xml:space="preserve"> HYPERLINK "https://www.planalto.gov.br/ccivil_03/_ato2015-2018/2018/lei/l13709.htm" \l "art15" \h </w:instrText>
      </w:r>
      <w:r>
        <w:fldChar w:fldCharType="separate"/>
      </w:r>
      <w:r>
        <w:rPr>
          <w:rFonts w:ascii="Arial" w:hAnsi="Arial" w:eastAsia="Arial" w:cs="Arial"/>
          <w:i/>
          <w:color w:val="000080"/>
          <w:sz w:val="20"/>
          <w:szCs w:val="20"/>
          <w:u w:val="single"/>
        </w:rPr>
        <w:t>art. 15 da LGPD</w:t>
      </w:r>
      <w:r>
        <w:rPr>
          <w:rFonts w:ascii="Arial" w:hAnsi="Arial" w:eastAsia="Arial" w:cs="Arial"/>
          <w:i/>
          <w:color w:val="000080"/>
          <w:sz w:val="20"/>
          <w:szCs w:val="20"/>
          <w:u w:val="single"/>
        </w:rPr>
        <w:fldChar w:fldCharType="end"/>
      </w:r>
      <w:r>
        <w:rPr>
          <w:rFonts w:ascii="Arial" w:hAnsi="Arial" w:eastAsia="Arial" w:cs="Arial"/>
          <w:i/>
          <w:color w:val="FF0000"/>
          <w:sz w:val="20"/>
          <w:szCs w:val="20"/>
        </w:rPr>
        <w:t xml:space="preserve">, é dever do contratado eliminá-los, com exceção das hipóteses do </w:t>
      </w:r>
      <w:r>
        <w:fldChar w:fldCharType="begin"/>
      </w:r>
      <w:r>
        <w:instrText xml:space="preserve"> HYPERLINK "https://www.planalto.gov.br/ccivil_03/_ato2015-2018/2018/lei/l13709.htm" \l "art16" \h </w:instrText>
      </w:r>
      <w:r>
        <w:fldChar w:fldCharType="separate"/>
      </w:r>
      <w:r>
        <w:rPr>
          <w:rFonts w:ascii="Arial" w:hAnsi="Arial" w:eastAsia="Arial" w:cs="Arial"/>
          <w:i/>
          <w:color w:val="000080"/>
          <w:sz w:val="20"/>
          <w:szCs w:val="20"/>
          <w:u w:val="single"/>
        </w:rPr>
        <w:t>art. 16 da LGPD</w:t>
      </w:r>
      <w:r>
        <w:rPr>
          <w:rFonts w:ascii="Arial" w:hAnsi="Arial" w:eastAsia="Arial" w:cs="Arial"/>
          <w:i/>
          <w:color w:val="000080"/>
          <w:sz w:val="20"/>
          <w:szCs w:val="20"/>
          <w:u w:val="single"/>
        </w:rPr>
        <w:fldChar w:fldCharType="end"/>
      </w:r>
      <w:r>
        <w:rPr>
          <w:rFonts w:ascii="Arial" w:hAnsi="Arial" w:eastAsia="Arial" w:cs="Arial"/>
          <w:i/>
          <w:color w:val="FF0000"/>
          <w:sz w:val="20"/>
          <w:szCs w:val="20"/>
        </w:rPr>
        <w:t xml:space="preserve">, incluindo aquelas em que houver necessidade de guarda de documentação para fins de comprovação do cumprimento de obrigações legais ou contratuais e somente enquanto não prescritas essas obrigações. </w:t>
      </w:r>
    </w:p>
    <w:p w14:paraId="52133C0B">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commentRangeStart w:id="14"/>
      <w:r>
        <w:rPr>
          <w:rFonts w:ascii="Arial" w:hAnsi="Arial" w:eastAsia="Arial" w:cs="Arial"/>
          <w:i/>
          <w:color w:val="FF0000"/>
          <w:sz w:val="20"/>
          <w:szCs w:val="20"/>
        </w:rPr>
        <w:t xml:space="preserve">É dever do contratado orientar e treinar seus empregados sobre os deveres, requisitos e responsabilidades decorrentes da LGPD. </w:t>
      </w:r>
      <w:commentRangeEnd w:id="14"/>
      <w:r>
        <w:commentReference w:id="14"/>
      </w:r>
    </w:p>
    <w:p w14:paraId="46F34A1D">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i/>
          <w:color w:val="FF0000"/>
          <w:sz w:val="20"/>
          <w:szCs w:val="20"/>
        </w:rPr>
        <w:t>O Contratado deverá exigir de suboperadores e subcontratados o cumprimento dos deveres da presente cláusula, permanecendo integralmente responsável por garantir sua observância.</w:t>
      </w:r>
    </w:p>
    <w:p w14:paraId="7E6F0563">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commentRangeStart w:id="15"/>
      <w:r>
        <w:rPr>
          <w:rFonts w:ascii="Arial" w:hAnsi="Arial" w:eastAsia="Arial" w:cs="Arial"/>
          <w:i/>
          <w:color w:val="FF0000"/>
          <w:sz w:val="20"/>
          <w:szCs w:val="20"/>
        </w:rPr>
        <w:t xml:space="preserve">O Contratante poderá realizar diligência para aferir o cumprimento dessa cláusula, devendo o Contratado atender prontamente eventuais pedidos de comprovação formulados. </w:t>
      </w:r>
      <w:commentRangeEnd w:id="15"/>
      <w:r>
        <w:commentReference w:id="15"/>
      </w:r>
    </w:p>
    <w:p w14:paraId="042E926A">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i/>
          <w:color w:val="FF0000"/>
          <w:sz w:val="20"/>
          <w:szCs w:val="20"/>
        </w:rPr>
        <w:t xml:space="preserve">O Contratado deverá prestar, no prazo fixado pelo Contratante, prorrogável justificadamente, quaisquer informações acerca dos dados pessoais para cumprimento da LGPD, inclusive quanto a eventual descarte realizado. </w:t>
      </w:r>
    </w:p>
    <w:p w14:paraId="09B3B245">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i/>
          <w:color w:val="FF0000"/>
          <w:sz w:val="20"/>
          <w:szCs w:val="20"/>
        </w:rPr>
        <w:t>Bancos de dados formados a partir de contratos administrativos, notadamente aqueles que se proponham a armazenar dados pessoais, devem ser mantidos em ambiente virtual controlado, com registro individual rastreável de tratamentos realizados (</w:t>
      </w:r>
      <w:r>
        <w:fldChar w:fldCharType="begin"/>
      </w:r>
      <w:r>
        <w:instrText xml:space="preserve"> HYPERLINK "https://www.planalto.gov.br/ccivil_03/_ato2015-2018/2018/lei/l13709.htm" \h </w:instrText>
      </w:r>
      <w:r>
        <w:fldChar w:fldCharType="separate"/>
      </w:r>
      <w:r>
        <w:rPr>
          <w:rFonts w:ascii="Arial" w:hAnsi="Arial" w:eastAsia="Arial" w:cs="Arial"/>
          <w:i/>
          <w:color w:val="000080"/>
          <w:sz w:val="20"/>
          <w:szCs w:val="20"/>
          <w:u w:val="single"/>
        </w:rPr>
        <w:t>LGPD, art. 37</w:t>
      </w:r>
      <w:r>
        <w:rPr>
          <w:rFonts w:ascii="Arial" w:hAnsi="Arial" w:eastAsia="Arial" w:cs="Arial"/>
          <w:i/>
          <w:color w:val="000080"/>
          <w:sz w:val="20"/>
          <w:szCs w:val="20"/>
          <w:u w:val="single"/>
        </w:rPr>
        <w:fldChar w:fldCharType="end"/>
      </w:r>
      <w:r>
        <w:rPr>
          <w:rFonts w:ascii="Arial" w:hAnsi="Arial" w:eastAsia="Arial" w:cs="Arial"/>
          <w:i/>
          <w:color w:val="FF0000"/>
          <w:sz w:val="20"/>
          <w:szCs w:val="20"/>
        </w:rPr>
        <w:t>), com cada acesso, data, horário e registro da finalidade, para efeito de responsabilização, em caso de eventuais omissões, desvios ou abusos.</w:t>
      </w:r>
    </w:p>
    <w:p w14:paraId="4DCAB8AA">
      <w:pPr>
        <w:numPr>
          <w:ilvl w:val="2"/>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i/>
          <w:color w:val="FF0000"/>
          <w:sz w:val="20"/>
          <w:szCs w:val="20"/>
        </w:rPr>
        <w:t>Os referidos bancos de dados devem ser desenvolvidos em formato interoperável, a fim de garantir a reutilização desses dados pela Administração nas hipóteses previstas na LGPD.</w:t>
      </w:r>
    </w:p>
    <w:p w14:paraId="751B230D">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i/>
          <w:color w:val="FF0000"/>
          <w:sz w:val="20"/>
          <w:szCs w:val="20"/>
        </w:rPr>
        <w:t>O contrato está sujeito a ser alterado nos procedimentos pertinentes ao tratamento de dados pessoais, quando indicado pela autoridade competente, em especial a ANPD por meio de opiniões técnicas ou recomendações, editadas na forma da LGPD.</w:t>
      </w:r>
    </w:p>
    <w:p w14:paraId="2D1CAD00">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commentRangeStart w:id="16"/>
      <w:r>
        <w:rPr>
          <w:rFonts w:ascii="Arial" w:hAnsi="Arial" w:eastAsia="Arial" w:cs="Arial"/>
          <w:i/>
          <w:color w:val="FF0000"/>
          <w:sz w:val="20"/>
          <w:szCs w:val="20"/>
        </w:rPr>
        <w:t xml:space="preserve">Os contratos e convênios de que trata o </w:t>
      </w:r>
      <w:r>
        <w:fldChar w:fldCharType="begin"/>
      </w:r>
      <w:r>
        <w:instrText xml:space="preserve"> HYPERLINK "https://www.planalto.gov.br/ccivil_03/_ato2015-2018/2018/lei/l13709.htm" \l "art26%C2%A71" \h </w:instrText>
      </w:r>
      <w:r>
        <w:fldChar w:fldCharType="separate"/>
      </w:r>
      <w:r>
        <w:rPr>
          <w:rFonts w:ascii="Arial" w:hAnsi="Arial" w:eastAsia="Arial" w:cs="Arial"/>
          <w:i/>
          <w:color w:val="000080"/>
          <w:sz w:val="20"/>
          <w:szCs w:val="20"/>
          <w:u w:val="single"/>
        </w:rPr>
        <w:t>§ 1º do art. 26 da LGPD</w:t>
      </w:r>
      <w:r>
        <w:rPr>
          <w:rFonts w:ascii="Arial" w:hAnsi="Arial" w:eastAsia="Arial" w:cs="Arial"/>
          <w:i/>
          <w:color w:val="000080"/>
          <w:sz w:val="20"/>
          <w:szCs w:val="20"/>
          <w:u w:val="single"/>
        </w:rPr>
        <w:fldChar w:fldCharType="end"/>
      </w:r>
      <w:r>
        <w:rPr>
          <w:rFonts w:ascii="Arial" w:hAnsi="Arial" w:eastAsia="Arial" w:cs="Arial"/>
          <w:i/>
          <w:color w:val="FF0000"/>
          <w:sz w:val="20"/>
          <w:szCs w:val="20"/>
        </w:rPr>
        <w:t xml:space="preserve"> deverão ser comunicados à autoridade nacional.</w:t>
      </w:r>
      <w:commentRangeEnd w:id="16"/>
      <w:r>
        <w:commentReference w:id="16"/>
      </w:r>
    </w:p>
    <w:p w14:paraId="40259578">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jc w:val="both"/>
        <w:rPr>
          <w:rFonts w:ascii="Arial" w:hAnsi="Arial" w:eastAsia="Arial" w:cs="Arial"/>
          <w:color w:val="FFFFFF"/>
          <w:sz w:val="20"/>
          <w:szCs w:val="20"/>
        </w:rPr>
      </w:pPr>
      <w:r>
        <w:rPr>
          <w:rFonts w:ascii="Arial" w:hAnsi="Arial" w:eastAsia="Arial" w:cs="Arial"/>
          <w:b/>
          <w:color w:val="000000"/>
          <w:sz w:val="20"/>
          <w:szCs w:val="20"/>
        </w:rPr>
        <w:tab/>
      </w:r>
      <w:r>
        <w:rPr>
          <w:rFonts w:ascii="Arial" w:hAnsi="Arial" w:eastAsia="Arial" w:cs="Arial"/>
          <w:b/>
          <w:color w:val="000000"/>
          <w:sz w:val="20"/>
          <w:szCs w:val="20"/>
        </w:rPr>
        <w:t xml:space="preserve">CLÁUSULA DÉCIMA PRIMEIRA – </w:t>
      </w:r>
      <w:commentRangeStart w:id="17"/>
      <w:r>
        <w:rPr>
          <w:rFonts w:ascii="Arial" w:hAnsi="Arial" w:eastAsia="Arial" w:cs="Arial"/>
          <w:b/>
          <w:color w:val="000000"/>
          <w:sz w:val="20"/>
          <w:szCs w:val="20"/>
        </w:rPr>
        <w:t xml:space="preserve">GARANTIA DE EXECUÇÃO </w:t>
      </w:r>
      <w:commentRangeEnd w:id="17"/>
      <w:r>
        <w:commentReference w:id="17"/>
      </w:r>
      <w:r>
        <w:rPr>
          <w:rFonts w:ascii="Arial" w:hAnsi="Arial" w:eastAsia="Arial" w:cs="Arial"/>
          <w:b/>
          <w:color w:val="000000"/>
          <w:sz w:val="20"/>
          <w:szCs w:val="20"/>
        </w:rPr>
        <w:t>(</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80"/>
          <w:sz w:val="20"/>
          <w:szCs w:val="20"/>
          <w:u w:val="single"/>
        </w:rPr>
        <w:t>art. 92, XII</w:t>
      </w:r>
      <w:r>
        <w:rPr>
          <w:rFonts w:ascii="Arial" w:hAnsi="Arial" w:eastAsia="Arial" w:cs="Arial"/>
          <w:b/>
          <w:color w:val="000080"/>
          <w:sz w:val="20"/>
          <w:szCs w:val="20"/>
          <w:u w:val="single"/>
        </w:rPr>
        <w:fldChar w:fldCharType="end"/>
      </w:r>
      <w:r>
        <w:rPr>
          <w:rFonts w:ascii="Arial" w:hAnsi="Arial" w:eastAsia="Arial" w:cs="Arial"/>
          <w:b/>
          <w:color w:val="000000"/>
          <w:sz w:val="20"/>
          <w:szCs w:val="20"/>
        </w:rPr>
        <w:t>)</w:t>
      </w:r>
    </w:p>
    <w:p w14:paraId="10053F5F">
      <w:pPr>
        <w:pStyle w:val="21"/>
        <w:numPr>
          <w:ilvl w:val="0"/>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rial" w:hAnsi="Arial" w:eastAsia="Arial" w:cs="Arial"/>
          <w:i/>
          <w:vanish/>
          <w:color w:val="000000"/>
          <w:sz w:val="20"/>
          <w:szCs w:val="20"/>
        </w:rPr>
      </w:pPr>
    </w:p>
    <w:p w14:paraId="7CE3E678">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1152"/>
        <w:jc w:val="both"/>
        <w:rPr>
          <w:iCs/>
        </w:rPr>
      </w:pPr>
      <w:r>
        <w:rPr>
          <w:rFonts w:ascii="Arial" w:hAnsi="Arial" w:eastAsia="Arial" w:cs="Arial"/>
          <w:iCs/>
          <w:color w:val="000000"/>
          <w:sz w:val="20"/>
          <w:szCs w:val="20"/>
        </w:rPr>
        <w:t xml:space="preserve">Não haverá exigência de garantia de execução contratual. </w:t>
      </w:r>
    </w:p>
    <w:p w14:paraId="4E0D8D8B">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jc w:val="both"/>
        <w:rPr>
          <w:rFonts w:ascii="Arial" w:hAnsi="Arial" w:eastAsia="Arial" w:cs="Arial"/>
          <w:color w:val="FFFFFF"/>
          <w:sz w:val="20"/>
          <w:szCs w:val="20"/>
        </w:rPr>
      </w:pPr>
      <w:r>
        <w:rPr>
          <w:rFonts w:ascii="Arial" w:hAnsi="Arial" w:eastAsia="Arial" w:cs="Arial"/>
          <w:b/>
          <w:color w:val="000000"/>
          <w:sz w:val="20"/>
          <w:szCs w:val="20"/>
        </w:rPr>
        <w:tab/>
      </w:r>
      <w:r>
        <w:rPr>
          <w:rFonts w:ascii="Arial" w:hAnsi="Arial" w:eastAsia="Arial" w:cs="Arial"/>
          <w:b/>
          <w:color w:val="000000"/>
          <w:sz w:val="20"/>
          <w:szCs w:val="20"/>
        </w:rPr>
        <w:t>CLÁUSULA DÉCIMA SEGUNDA – INFRAÇÕES E SANÇÕES ADMINISTRATIVAS (</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80"/>
          <w:sz w:val="20"/>
          <w:szCs w:val="20"/>
          <w:u w:val="single"/>
        </w:rPr>
        <w:t>art. 92, XIV</w:t>
      </w:r>
      <w:r>
        <w:rPr>
          <w:rFonts w:ascii="Arial" w:hAnsi="Arial" w:eastAsia="Arial" w:cs="Arial"/>
          <w:b/>
          <w:color w:val="000080"/>
          <w:sz w:val="20"/>
          <w:szCs w:val="20"/>
          <w:u w:val="single"/>
        </w:rPr>
        <w:fldChar w:fldCharType="end"/>
      </w:r>
      <w:r>
        <w:rPr>
          <w:rFonts w:ascii="Arial" w:hAnsi="Arial" w:eastAsia="Arial" w:cs="Arial"/>
          <w:b/>
          <w:color w:val="000000"/>
          <w:sz w:val="20"/>
          <w:szCs w:val="20"/>
        </w:rPr>
        <w:t>)</w:t>
      </w:r>
    </w:p>
    <w:p w14:paraId="33C39874">
      <w:pPr>
        <w:pStyle w:val="21"/>
        <w:numPr>
          <w:ilvl w:val="0"/>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rial" w:hAnsi="Arial" w:eastAsia="Arial" w:cs="Arial"/>
          <w:vanish/>
          <w:color w:val="000000"/>
          <w:sz w:val="20"/>
          <w:szCs w:val="20"/>
        </w:rPr>
      </w:pPr>
    </w:p>
    <w:p w14:paraId="78FBE263">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1152"/>
        <w:jc w:val="both"/>
      </w:pPr>
      <w:r>
        <w:rPr>
          <w:rFonts w:ascii="Arial" w:hAnsi="Arial" w:eastAsia="Arial" w:cs="Arial"/>
          <w:color w:val="000000"/>
          <w:sz w:val="20"/>
          <w:szCs w:val="20"/>
        </w:rPr>
        <w:t xml:space="preserve">Comete infração administrativa, nos termos da </w:t>
      </w:r>
      <w:r>
        <w:fldChar w:fldCharType="begin"/>
      </w:r>
      <w:r>
        <w:instrText xml:space="preserve"> HYPERLINK "http://www.planalto.gov.br/ccivil_03/_ato2019-2022/2021/lei/L14133.htm" \h </w:instrText>
      </w:r>
      <w:r>
        <w:fldChar w:fldCharType="separate"/>
      </w:r>
      <w:r>
        <w:rPr>
          <w:rFonts w:ascii="Arial" w:hAnsi="Arial" w:eastAsia="Arial" w:cs="Arial"/>
          <w:color w:val="000080"/>
          <w:sz w:val="20"/>
          <w:szCs w:val="20"/>
          <w:u w:val="single"/>
        </w:rPr>
        <w:t>Lei nº 14.133, de 2021</w:t>
      </w:r>
      <w:r>
        <w:rPr>
          <w:rFonts w:ascii="Arial" w:hAnsi="Arial" w:eastAsia="Arial" w:cs="Arial"/>
          <w:color w:val="000080"/>
          <w:sz w:val="20"/>
          <w:szCs w:val="20"/>
          <w:u w:val="single"/>
        </w:rPr>
        <w:fldChar w:fldCharType="end"/>
      </w:r>
      <w:r>
        <w:rPr>
          <w:rFonts w:ascii="Arial" w:hAnsi="Arial" w:eastAsia="Arial" w:cs="Arial"/>
          <w:color w:val="000000"/>
          <w:sz w:val="20"/>
          <w:szCs w:val="20"/>
        </w:rPr>
        <w:t>, o contratado que:</w:t>
      </w:r>
    </w:p>
    <w:p w14:paraId="7228E872">
      <w:pPr>
        <w:numPr>
          <w:ilvl w:val="2"/>
          <w:numId w:val="3"/>
        </w:numPr>
        <w:spacing w:before="120" w:after="120" w:line="276" w:lineRule="auto"/>
        <w:ind w:left="0" w:firstLine="720"/>
        <w:jc w:val="both"/>
        <w:rPr>
          <w:rFonts w:ascii="Arial" w:hAnsi="Arial" w:eastAsia="Arial" w:cs="Arial"/>
          <w:sz w:val="20"/>
          <w:szCs w:val="20"/>
        </w:rPr>
      </w:pPr>
      <w:r>
        <w:rPr>
          <w:rFonts w:ascii="Arial" w:hAnsi="Arial" w:eastAsia="Arial" w:cs="Arial"/>
          <w:sz w:val="20"/>
          <w:szCs w:val="20"/>
        </w:rPr>
        <w:t>der causa à inexecução parcial do contrato;</w:t>
      </w:r>
    </w:p>
    <w:p w14:paraId="266A609E">
      <w:pPr>
        <w:numPr>
          <w:ilvl w:val="2"/>
          <w:numId w:val="3"/>
        </w:numPr>
        <w:spacing w:before="120" w:after="120" w:line="276" w:lineRule="auto"/>
        <w:ind w:left="0" w:firstLine="720"/>
        <w:jc w:val="both"/>
        <w:rPr>
          <w:rFonts w:ascii="Arial" w:hAnsi="Arial" w:eastAsia="Arial" w:cs="Arial"/>
          <w:sz w:val="20"/>
          <w:szCs w:val="20"/>
        </w:rPr>
      </w:pPr>
      <w:r>
        <w:rPr>
          <w:rFonts w:ascii="Arial" w:hAnsi="Arial" w:eastAsia="Arial" w:cs="Arial"/>
          <w:sz w:val="20"/>
          <w:szCs w:val="20"/>
        </w:rPr>
        <w:t>der causa à inexecução parcial do contrato que cause grave dano à Administração ou ao funcionamento dos serviços públicos ou ao interesse coletivo;</w:t>
      </w:r>
    </w:p>
    <w:p w14:paraId="5A0942F9">
      <w:pPr>
        <w:numPr>
          <w:ilvl w:val="2"/>
          <w:numId w:val="3"/>
        </w:numPr>
        <w:spacing w:before="120" w:after="120" w:line="276" w:lineRule="auto"/>
        <w:ind w:left="0" w:firstLine="720"/>
        <w:jc w:val="both"/>
        <w:rPr>
          <w:rFonts w:ascii="Arial" w:hAnsi="Arial" w:eastAsia="Arial" w:cs="Arial"/>
          <w:sz w:val="20"/>
          <w:szCs w:val="20"/>
        </w:rPr>
      </w:pPr>
      <w:r>
        <w:rPr>
          <w:rFonts w:ascii="Arial" w:hAnsi="Arial" w:eastAsia="Arial" w:cs="Arial"/>
          <w:sz w:val="20"/>
          <w:szCs w:val="20"/>
        </w:rPr>
        <w:t>der causa à inexecução total do contrato;</w:t>
      </w:r>
    </w:p>
    <w:p w14:paraId="305B1F6D">
      <w:pPr>
        <w:numPr>
          <w:ilvl w:val="2"/>
          <w:numId w:val="3"/>
        </w:numPr>
        <w:spacing w:before="120" w:after="120" w:line="276" w:lineRule="auto"/>
        <w:ind w:left="0" w:firstLine="720"/>
        <w:jc w:val="both"/>
        <w:rPr>
          <w:rFonts w:ascii="Arial" w:hAnsi="Arial" w:eastAsia="Arial" w:cs="Arial"/>
          <w:sz w:val="20"/>
          <w:szCs w:val="20"/>
        </w:rPr>
      </w:pPr>
      <w:r>
        <w:rPr>
          <w:rFonts w:ascii="Arial" w:hAnsi="Arial" w:eastAsia="Arial" w:cs="Arial"/>
          <w:sz w:val="20"/>
          <w:szCs w:val="20"/>
        </w:rPr>
        <w:t>ensejar o retardamento da execução ou da entrega do objeto da contratação sem motivo justificado;</w:t>
      </w:r>
    </w:p>
    <w:p w14:paraId="32D171B0">
      <w:pPr>
        <w:numPr>
          <w:ilvl w:val="2"/>
          <w:numId w:val="3"/>
        </w:numPr>
        <w:spacing w:before="120" w:after="120" w:line="276" w:lineRule="auto"/>
        <w:ind w:left="0" w:firstLine="720"/>
        <w:jc w:val="both"/>
        <w:rPr>
          <w:rFonts w:ascii="Arial" w:hAnsi="Arial" w:eastAsia="Arial" w:cs="Arial"/>
          <w:sz w:val="20"/>
          <w:szCs w:val="20"/>
        </w:rPr>
      </w:pPr>
      <w:r>
        <w:rPr>
          <w:rFonts w:ascii="Arial" w:hAnsi="Arial" w:eastAsia="Arial" w:cs="Arial"/>
          <w:sz w:val="20"/>
          <w:szCs w:val="20"/>
        </w:rPr>
        <w:t>apresentar documentação falsa ou prestar declaração falsa durante a execução do contrato;</w:t>
      </w:r>
    </w:p>
    <w:p w14:paraId="280345A8">
      <w:pPr>
        <w:numPr>
          <w:ilvl w:val="2"/>
          <w:numId w:val="3"/>
        </w:numPr>
        <w:spacing w:before="120" w:after="120" w:line="276" w:lineRule="auto"/>
        <w:ind w:left="0" w:firstLine="720"/>
        <w:jc w:val="both"/>
        <w:rPr>
          <w:rFonts w:ascii="Arial" w:hAnsi="Arial" w:eastAsia="Arial" w:cs="Arial"/>
          <w:sz w:val="20"/>
          <w:szCs w:val="20"/>
        </w:rPr>
      </w:pPr>
      <w:r>
        <w:rPr>
          <w:rFonts w:ascii="Arial" w:hAnsi="Arial" w:eastAsia="Arial" w:cs="Arial"/>
          <w:sz w:val="20"/>
          <w:szCs w:val="20"/>
        </w:rPr>
        <w:t>praticar ato fraudulento na execução do contrato;</w:t>
      </w:r>
    </w:p>
    <w:p w14:paraId="2093F3E8">
      <w:pPr>
        <w:numPr>
          <w:ilvl w:val="2"/>
          <w:numId w:val="3"/>
        </w:numPr>
        <w:spacing w:before="120" w:after="120" w:line="276" w:lineRule="auto"/>
        <w:ind w:left="0" w:firstLine="720"/>
        <w:jc w:val="both"/>
        <w:rPr>
          <w:rFonts w:ascii="Arial" w:hAnsi="Arial" w:eastAsia="Arial" w:cs="Arial"/>
          <w:sz w:val="20"/>
          <w:szCs w:val="20"/>
        </w:rPr>
      </w:pPr>
      <w:r>
        <w:rPr>
          <w:rFonts w:ascii="Arial" w:hAnsi="Arial" w:eastAsia="Arial" w:cs="Arial"/>
          <w:sz w:val="20"/>
          <w:szCs w:val="20"/>
        </w:rPr>
        <w:t>comportar-se de modo inidôneo ou cometer fraude de qualquer natureza;</w:t>
      </w:r>
    </w:p>
    <w:p w14:paraId="6700D5C2">
      <w:pPr>
        <w:numPr>
          <w:ilvl w:val="2"/>
          <w:numId w:val="3"/>
        </w:numPr>
        <w:spacing w:before="120" w:after="120" w:line="276" w:lineRule="auto"/>
        <w:ind w:left="0" w:firstLine="720"/>
        <w:jc w:val="both"/>
        <w:rPr>
          <w:rFonts w:ascii="Arial" w:hAnsi="Arial" w:eastAsia="Arial" w:cs="Arial"/>
          <w:sz w:val="20"/>
          <w:szCs w:val="20"/>
        </w:rPr>
      </w:pPr>
      <w:r>
        <w:rPr>
          <w:rFonts w:ascii="Arial" w:hAnsi="Arial" w:eastAsia="Arial" w:cs="Arial"/>
          <w:sz w:val="20"/>
          <w:szCs w:val="20"/>
        </w:rPr>
        <w:t>praticar ato lesivo previsto no art. 5º da Lei nº 12.846, de 1º de agosto de 2013.</w:t>
      </w:r>
    </w:p>
    <w:p w14:paraId="26156273">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Serão aplicadas ao contratado que incorrer nas infrações acima descritas as seguintes sanções:</w:t>
      </w:r>
    </w:p>
    <w:p w14:paraId="1D6E89A1">
      <w:pPr>
        <w:numPr>
          <w:ilvl w:val="2"/>
          <w:numId w:val="4"/>
        </w:numPr>
        <w:spacing w:before="120" w:line="276" w:lineRule="auto"/>
        <w:ind w:left="0" w:firstLine="720"/>
        <w:jc w:val="both"/>
        <w:rPr>
          <w:rFonts w:ascii="Arial" w:hAnsi="Arial" w:eastAsia="Arial" w:cs="Arial"/>
          <w:sz w:val="20"/>
          <w:szCs w:val="20"/>
        </w:rPr>
      </w:pPr>
      <w:bookmarkStart w:id="3" w:name="_3znysh7" w:colFirst="0" w:colLast="0"/>
      <w:bookmarkEnd w:id="3"/>
      <w:r>
        <w:rPr>
          <w:rFonts w:ascii="Arial" w:hAnsi="Arial" w:eastAsia="Arial" w:cs="Arial"/>
          <w:b/>
          <w:sz w:val="20"/>
          <w:szCs w:val="20"/>
        </w:rPr>
        <w:t>Advertência</w:t>
      </w:r>
      <w:r>
        <w:rPr>
          <w:rFonts w:ascii="Arial" w:hAnsi="Arial" w:eastAsia="Arial" w:cs="Arial"/>
          <w:sz w:val="20"/>
          <w:szCs w:val="20"/>
        </w:rPr>
        <w:t>,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"art156%C2%A72" \h </w:instrText>
      </w:r>
      <w:r>
        <w:fldChar w:fldCharType="separate"/>
      </w:r>
      <w:r>
        <w:rPr>
          <w:rFonts w:ascii="Arial" w:hAnsi="Arial" w:eastAsia="Arial" w:cs="Arial"/>
          <w:color w:val="000080"/>
          <w:sz w:val="20"/>
          <w:szCs w:val="20"/>
          <w:u w:val="single"/>
        </w:rPr>
        <w:t>art. 156, §2º, da Lei nº 14.133, de 2021</w:t>
      </w:r>
      <w:r>
        <w:rPr>
          <w:rFonts w:ascii="Arial" w:hAnsi="Arial" w:eastAsia="Arial" w:cs="Arial"/>
          <w:color w:val="000080"/>
          <w:sz w:val="20"/>
          <w:szCs w:val="20"/>
          <w:u w:val="single"/>
        </w:rPr>
        <w:fldChar w:fldCharType="end"/>
      </w:r>
      <w:r>
        <w:rPr>
          <w:rFonts w:ascii="Arial" w:hAnsi="Arial" w:eastAsia="Arial" w:cs="Arial"/>
          <w:sz w:val="20"/>
          <w:szCs w:val="20"/>
        </w:rPr>
        <w:t>);</w:t>
      </w:r>
    </w:p>
    <w:p w14:paraId="34A2B3A4">
      <w:pPr>
        <w:numPr>
          <w:ilvl w:val="2"/>
          <w:numId w:val="4"/>
        </w:numPr>
        <w:spacing w:before="120" w:line="276" w:lineRule="auto"/>
        <w:ind w:left="0" w:firstLine="720"/>
        <w:jc w:val="both"/>
        <w:rPr>
          <w:rFonts w:ascii="Arial" w:hAnsi="Arial" w:eastAsia="Arial" w:cs="Arial"/>
          <w:sz w:val="20"/>
          <w:szCs w:val="20"/>
        </w:rPr>
      </w:pPr>
      <w:r>
        <w:rPr>
          <w:rFonts w:ascii="Arial" w:hAnsi="Arial" w:eastAsia="Arial" w:cs="Arial"/>
          <w:b/>
          <w:sz w:val="20"/>
          <w:szCs w:val="20"/>
        </w:rPr>
        <w:t>Impedimento de licitar e contratar</w:t>
      </w:r>
      <w:r>
        <w:rPr>
          <w:rFonts w:ascii="Arial" w:hAnsi="Arial" w:eastAsia="Arial" w:cs="Arial"/>
          <w:sz w:val="20"/>
          <w:szCs w:val="20"/>
        </w:rPr>
        <w:t>,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"art156%C2%A74" \h </w:instrText>
      </w:r>
      <w:r>
        <w:fldChar w:fldCharType="separate"/>
      </w:r>
      <w:r>
        <w:rPr>
          <w:rFonts w:ascii="Arial" w:hAnsi="Arial" w:eastAsia="Arial" w:cs="Arial"/>
          <w:color w:val="000080"/>
          <w:sz w:val="20"/>
          <w:szCs w:val="20"/>
          <w:u w:val="single"/>
        </w:rPr>
        <w:t>art. 156, § 4º, da Lei nº 14.133, de 2021</w:t>
      </w:r>
      <w:r>
        <w:rPr>
          <w:rFonts w:ascii="Arial" w:hAnsi="Arial" w:eastAsia="Arial" w:cs="Arial"/>
          <w:color w:val="000080"/>
          <w:sz w:val="20"/>
          <w:szCs w:val="20"/>
          <w:u w:val="single"/>
        </w:rPr>
        <w:fldChar w:fldCharType="end"/>
      </w:r>
      <w:r>
        <w:rPr>
          <w:rFonts w:ascii="Arial" w:hAnsi="Arial" w:eastAsia="Arial" w:cs="Arial"/>
          <w:sz w:val="20"/>
          <w:szCs w:val="20"/>
        </w:rPr>
        <w:t>);</w:t>
      </w:r>
    </w:p>
    <w:p w14:paraId="60D25F5C">
      <w:pPr>
        <w:numPr>
          <w:ilvl w:val="2"/>
          <w:numId w:val="4"/>
        </w:numPr>
        <w:spacing w:line="276" w:lineRule="auto"/>
        <w:ind w:left="0" w:firstLine="720"/>
        <w:jc w:val="both"/>
        <w:rPr>
          <w:rFonts w:ascii="Arial" w:hAnsi="Arial" w:eastAsia="Arial" w:cs="Arial"/>
          <w:sz w:val="20"/>
          <w:szCs w:val="20"/>
        </w:rPr>
      </w:pPr>
      <w:r>
        <w:rPr>
          <w:rFonts w:ascii="Arial" w:hAnsi="Arial" w:eastAsia="Arial" w:cs="Arial"/>
          <w:b/>
          <w:sz w:val="20"/>
          <w:szCs w:val="20"/>
        </w:rPr>
        <w:t>Declaração de inidoneidade para licitar e contratar</w:t>
      </w:r>
      <w:r>
        <w:rPr>
          <w:rFonts w:ascii="Arial" w:hAnsi="Arial" w:eastAsia="Arial" w:cs="Arial"/>
          <w:sz w:val="20"/>
          <w:szCs w:val="20"/>
        </w:rPr>
        <w:t>,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"art156%C2%A75" \h </w:instrText>
      </w:r>
      <w:r>
        <w:fldChar w:fldCharType="separate"/>
      </w:r>
      <w:r>
        <w:rPr>
          <w:rFonts w:ascii="Arial" w:hAnsi="Arial" w:eastAsia="Arial" w:cs="Arial"/>
          <w:color w:val="000080"/>
          <w:sz w:val="20"/>
          <w:szCs w:val="20"/>
          <w:u w:val="single"/>
        </w:rPr>
        <w:t>art. 156, §5º, da Lei nº 14.133, de 2021</w:t>
      </w:r>
      <w:r>
        <w:rPr>
          <w:rFonts w:ascii="Arial" w:hAnsi="Arial" w:eastAsia="Arial" w:cs="Arial"/>
          <w:color w:val="000080"/>
          <w:sz w:val="20"/>
          <w:szCs w:val="20"/>
          <w:u w:val="single"/>
        </w:rPr>
        <w:fldChar w:fldCharType="end"/>
      </w:r>
      <w:r>
        <w:rPr>
          <w:rFonts w:ascii="Arial" w:hAnsi="Arial" w:eastAsia="Arial" w:cs="Arial"/>
          <w:sz w:val="20"/>
          <w:szCs w:val="20"/>
        </w:rPr>
        <w:t>).</w:t>
      </w:r>
    </w:p>
    <w:p w14:paraId="01A142E3">
      <w:pPr>
        <w:numPr>
          <w:ilvl w:val="2"/>
          <w:numId w:val="4"/>
        </w:numPr>
        <w:spacing w:line="276" w:lineRule="auto"/>
        <w:ind w:left="0" w:firstLine="720"/>
        <w:jc w:val="both"/>
        <w:rPr>
          <w:rFonts w:ascii="Arial" w:hAnsi="Arial" w:eastAsia="Arial" w:cs="Arial"/>
          <w:sz w:val="20"/>
          <w:szCs w:val="20"/>
        </w:rPr>
      </w:pPr>
      <w:r>
        <w:rPr>
          <w:rFonts w:ascii="Arial" w:hAnsi="Arial" w:eastAsia="Arial" w:cs="Arial"/>
          <w:b/>
          <w:sz w:val="20"/>
          <w:szCs w:val="20"/>
        </w:rPr>
        <w:t>Multa:</w:t>
      </w:r>
    </w:p>
    <w:p w14:paraId="228FB89C">
      <w:pPr>
        <w:numPr>
          <w:ilvl w:val="3"/>
          <w:numId w:val="4"/>
        </w:numPr>
        <w:spacing w:line="276" w:lineRule="auto"/>
        <w:ind w:left="0" w:firstLine="720"/>
        <w:jc w:val="both"/>
        <w:rPr>
          <w:rFonts w:ascii="Arial" w:hAnsi="Arial" w:eastAsia="Arial" w:cs="Arial"/>
          <w:sz w:val="20"/>
          <w:szCs w:val="20"/>
        </w:rPr>
      </w:pPr>
      <w:r>
        <w:rPr>
          <w:rFonts w:ascii="Arial" w:hAnsi="Arial" w:eastAsia="Arial" w:cs="Arial"/>
          <w:sz w:val="20"/>
          <w:szCs w:val="20"/>
        </w:rPr>
        <w:t xml:space="preserve">Moratória de </w:t>
      </w:r>
      <w:r>
        <w:rPr>
          <w:rFonts w:ascii="Arial" w:hAnsi="Arial" w:eastAsia="Arial" w:cs="Arial"/>
          <w:color w:val="FF0000"/>
          <w:sz w:val="20"/>
          <w:szCs w:val="20"/>
        </w:rPr>
        <w:t>.....</w:t>
      </w:r>
      <w:r>
        <w:rPr>
          <w:rFonts w:ascii="Arial" w:hAnsi="Arial" w:eastAsia="Arial" w:cs="Arial"/>
          <w:sz w:val="20"/>
          <w:szCs w:val="20"/>
        </w:rPr>
        <w:t>% (</w:t>
      </w:r>
      <w:r>
        <w:rPr>
          <w:rFonts w:ascii="Arial" w:hAnsi="Arial" w:eastAsia="Arial" w:cs="Arial"/>
          <w:color w:val="FF0000"/>
          <w:sz w:val="20"/>
          <w:szCs w:val="20"/>
        </w:rPr>
        <w:t>.....</w:t>
      </w:r>
      <w:r>
        <w:rPr>
          <w:rFonts w:ascii="Arial" w:hAnsi="Arial" w:eastAsia="Arial" w:cs="Arial"/>
          <w:sz w:val="20"/>
          <w:szCs w:val="20"/>
        </w:rPr>
        <w:t xml:space="preserve"> por cento) por dia de atraso injustificado sobre o valor da parcela inadimplida, até o limite de </w:t>
      </w:r>
      <w:r>
        <w:rPr>
          <w:rFonts w:ascii="Arial" w:hAnsi="Arial" w:eastAsia="Arial" w:cs="Arial"/>
          <w:color w:val="FF0000"/>
          <w:sz w:val="20"/>
          <w:szCs w:val="20"/>
        </w:rPr>
        <w:t>...... (.......)</w:t>
      </w:r>
      <w:r>
        <w:rPr>
          <w:rFonts w:ascii="Arial" w:hAnsi="Arial" w:eastAsia="Arial" w:cs="Arial"/>
          <w:sz w:val="20"/>
          <w:szCs w:val="20"/>
        </w:rPr>
        <w:t xml:space="preserve"> </w:t>
      </w:r>
      <w:commentRangeStart w:id="18"/>
      <w:r>
        <w:rPr>
          <w:rFonts w:ascii="Arial" w:hAnsi="Arial" w:eastAsia="Arial" w:cs="Arial"/>
          <w:sz w:val="20"/>
          <w:szCs w:val="20"/>
        </w:rPr>
        <w:t>dias</w:t>
      </w:r>
      <w:commentRangeEnd w:id="18"/>
      <w:r>
        <w:commentReference w:id="18"/>
      </w:r>
      <w:r>
        <w:rPr>
          <w:rFonts w:ascii="Arial" w:hAnsi="Arial" w:eastAsia="Arial" w:cs="Arial"/>
          <w:sz w:val="20"/>
          <w:szCs w:val="20"/>
        </w:rPr>
        <w:t>;</w:t>
      </w:r>
    </w:p>
    <w:p w14:paraId="62E41B8A">
      <w:pPr>
        <w:numPr>
          <w:ilvl w:val="3"/>
          <w:numId w:val="4"/>
        </w:numPr>
        <w:spacing w:line="276" w:lineRule="auto"/>
        <w:ind w:left="0" w:firstLine="720"/>
        <w:jc w:val="both"/>
        <w:rPr>
          <w:rFonts w:ascii="Arial" w:hAnsi="Arial" w:eastAsia="Arial" w:cs="Arial"/>
          <w:sz w:val="20"/>
          <w:szCs w:val="20"/>
        </w:rPr>
      </w:pPr>
      <w:commentRangeStart w:id="19"/>
      <w:commentRangeStart w:id="20"/>
      <w:r>
        <w:rPr>
          <w:rFonts w:ascii="Arial" w:hAnsi="Arial" w:eastAsia="Arial" w:cs="Arial"/>
          <w:sz w:val="20"/>
          <w:szCs w:val="20"/>
        </w:rPr>
        <w:t xml:space="preserve">Compensatória, para as infrações descritas nas alíneas “e” a “h” do subitem 12.1, de ....% a ...% do valor do </w:t>
      </w:r>
      <w:commentRangeStart w:id="21"/>
      <w:r>
        <w:rPr>
          <w:rFonts w:ascii="Arial" w:hAnsi="Arial" w:eastAsia="Arial" w:cs="Arial"/>
          <w:sz w:val="20"/>
          <w:szCs w:val="20"/>
        </w:rPr>
        <w:t>Contrato</w:t>
      </w:r>
      <w:commentRangeEnd w:id="21"/>
      <w:r>
        <w:commentReference w:id="21"/>
      </w:r>
      <w:r>
        <w:rPr>
          <w:rFonts w:ascii="Arial" w:hAnsi="Arial" w:eastAsia="Arial" w:cs="Arial"/>
          <w:sz w:val="20"/>
          <w:szCs w:val="20"/>
        </w:rPr>
        <w:t>.</w:t>
      </w:r>
    </w:p>
    <w:p w14:paraId="64015971">
      <w:pPr>
        <w:numPr>
          <w:ilvl w:val="3"/>
          <w:numId w:val="4"/>
        </w:numPr>
        <w:spacing w:line="276" w:lineRule="auto"/>
        <w:ind w:left="0" w:firstLine="720"/>
        <w:jc w:val="both"/>
        <w:rPr>
          <w:rFonts w:ascii="Arial" w:hAnsi="Arial" w:eastAsia="Arial" w:cs="Arial"/>
          <w:sz w:val="20"/>
          <w:szCs w:val="20"/>
        </w:rPr>
      </w:pPr>
      <w:r>
        <w:rPr>
          <w:rFonts w:ascii="Arial" w:hAnsi="Arial" w:eastAsia="Arial" w:cs="Arial"/>
          <w:sz w:val="20"/>
          <w:szCs w:val="20"/>
        </w:rPr>
        <w:t xml:space="preserve">Compensatória, para a inexecução total do contrato prevista na alínea “c” do subitem 12.1, de ....% a ...%  do valor do Contrato. </w:t>
      </w:r>
    </w:p>
    <w:p w14:paraId="22D13BDD">
      <w:pPr>
        <w:numPr>
          <w:ilvl w:val="3"/>
          <w:numId w:val="4"/>
        </w:numPr>
        <w:spacing w:line="276" w:lineRule="auto"/>
        <w:ind w:left="0" w:firstLine="720"/>
        <w:jc w:val="both"/>
        <w:rPr>
          <w:rFonts w:ascii="Arial" w:hAnsi="Arial" w:eastAsia="Arial" w:cs="Arial"/>
          <w:sz w:val="20"/>
          <w:szCs w:val="20"/>
        </w:rPr>
      </w:pPr>
      <w:r>
        <w:rPr>
          <w:rFonts w:ascii="Arial" w:hAnsi="Arial" w:eastAsia="Arial" w:cs="Arial"/>
          <w:sz w:val="20"/>
          <w:szCs w:val="20"/>
        </w:rPr>
        <w:t>Para infração descrita na alínea “b” do subitem 12.1, a multa será de ....% a ...%  do valor do Contrato.</w:t>
      </w:r>
    </w:p>
    <w:p w14:paraId="4FF251C5">
      <w:pPr>
        <w:numPr>
          <w:ilvl w:val="3"/>
          <w:numId w:val="4"/>
        </w:numPr>
        <w:spacing w:line="276" w:lineRule="auto"/>
        <w:ind w:left="0" w:firstLine="720"/>
        <w:jc w:val="both"/>
        <w:rPr>
          <w:rFonts w:ascii="Arial" w:hAnsi="Arial" w:eastAsia="Arial" w:cs="Arial"/>
          <w:sz w:val="20"/>
          <w:szCs w:val="20"/>
        </w:rPr>
      </w:pPr>
      <w:r>
        <w:rPr>
          <w:rFonts w:ascii="Arial" w:hAnsi="Arial" w:eastAsia="Arial" w:cs="Arial"/>
          <w:sz w:val="20"/>
          <w:szCs w:val="20"/>
        </w:rPr>
        <w:t>Para infrações descritas na alínea “d” do subitem 12.1, a multa será de ....% a ...%  do valor do Contrato.</w:t>
      </w:r>
    </w:p>
    <w:p w14:paraId="1E37CD28">
      <w:pPr>
        <w:numPr>
          <w:ilvl w:val="3"/>
          <w:numId w:val="4"/>
        </w:numPr>
        <w:spacing w:line="276" w:lineRule="auto"/>
        <w:ind w:left="0" w:firstLine="720"/>
        <w:jc w:val="both"/>
        <w:rPr>
          <w:rFonts w:ascii="Arial" w:hAnsi="Arial" w:eastAsia="Arial" w:cs="Arial"/>
          <w:sz w:val="20"/>
          <w:szCs w:val="20"/>
        </w:rPr>
      </w:pPr>
      <w:r>
        <w:rPr>
          <w:rFonts w:ascii="Arial" w:hAnsi="Arial" w:eastAsia="Arial" w:cs="Arial"/>
          <w:sz w:val="20"/>
          <w:szCs w:val="20"/>
        </w:rPr>
        <w:t>Para a infração descrita na alínea “a” do subitem 12.1, a multa será de ....% a ...% do valor do Contrato, ressalvadas as seguintes infrações:</w:t>
      </w:r>
    </w:p>
    <w:p w14:paraId="5DC64229">
      <w:pPr>
        <w:spacing w:after="120" w:line="276" w:lineRule="auto"/>
        <w:ind w:firstLine="720"/>
        <w:jc w:val="both"/>
        <w:rPr>
          <w:rFonts w:ascii="Arial" w:hAnsi="Arial" w:eastAsia="Arial" w:cs="Arial"/>
          <w:sz w:val="20"/>
          <w:szCs w:val="20"/>
        </w:rPr>
      </w:pPr>
      <w:r>
        <w:rPr>
          <w:rFonts w:ascii="Arial" w:hAnsi="Arial" w:eastAsia="Arial" w:cs="Arial"/>
          <w:i/>
          <w:color w:val="FF0000"/>
          <w:sz w:val="20"/>
          <w:szCs w:val="20"/>
          <w:highlight w:val="yellow"/>
        </w:rPr>
        <w:t>[INDICAR ITENS ESPECÍFICOS DE INEXECUÇÃO PARCIAL QUE JUSTIFIQUEM PENA DIVERSA]</w:t>
      </w:r>
      <w:commentRangeEnd w:id="19"/>
      <w:r>
        <w:commentReference w:id="19"/>
      </w:r>
      <w:commentRangeEnd w:id="20"/>
      <w:r>
        <w:commentReference w:id="20"/>
      </w:r>
    </w:p>
    <w:p w14:paraId="19E4F570">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"art156%C2%A79" \h </w:instrText>
      </w:r>
      <w:r>
        <w:fldChar w:fldCharType="separate"/>
      </w:r>
      <w:r>
        <w:rPr>
          <w:rFonts w:ascii="Arial" w:hAnsi="Arial" w:eastAsia="Arial" w:cs="Arial"/>
          <w:color w:val="000080"/>
          <w:sz w:val="20"/>
          <w:szCs w:val="20"/>
          <w:u w:val="single"/>
        </w:rPr>
        <w:t>art. 156, §9º, da Lei nº 14.133, de 2021</w:t>
      </w:r>
      <w:r>
        <w:rPr>
          <w:rFonts w:ascii="Arial" w:hAnsi="Arial" w:eastAsia="Arial" w:cs="Arial"/>
          <w:color w:val="000080"/>
          <w:sz w:val="20"/>
          <w:szCs w:val="20"/>
          <w:u w:val="single"/>
        </w:rPr>
        <w:fldChar w:fldCharType="end"/>
      </w:r>
      <w:r>
        <w:rPr>
          <w:rFonts w:ascii="Arial" w:hAnsi="Arial" w:eastAsia="Arial" w:cs="Arial"/>
          <w:color w:val="000000"/>
          <w:sz w:val="20"/>
          <w:szCs w:val="20"/>
        </w:rPr>
        <w:t>)</w:t>
      </w:r>
    </w:p>
    <w:p w14:paraId="7FA89BA8">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Todas as sanções previstas neste Contrato poderão ser aplicadas cumulativamente com a multa (</w:t>
      </w:r>
      <w:r>
        <w:fldChar w:fldCharType="begin"/>
      </w:r>
      <w:r>
        <w:instrText xml:space="preserve"> HYPERLINK "http://www.planalto.gov.br/ccivil_03/_ato2019-2022/2021/lei/L14133.htm" \l "art156%C2%A77" \h </w:instrText>
      </w:r>
      <w:r>
        <w:fldChar w:fldCharType="separate"/>
      </w:r>
      <w:r>
        <w:rPr>
          <w:rFonts w:ascii="Arial" w:hAnsi="Arial" w:eastAsia="Arial" w:cs="Arial"/>
          <w:color w:val="000080"/>
          <w:sz w:val="20"/>
          <w:szCs w:val="20"/>
          <w:u w:val="single"/>
        </w:rPr>
        <w:t>art. 156, §7º, da Lei nº 14.133, de 2021</w:t>
      </w:r>
      <w:r>
        <w:rPr>
          <w:rFonts w:ascii="Arial" w:hAnsi="Arial" w:eastAsia="Arial" w:cs="Arial"/>
          <w:color w:val="000080"/>
          <w:sz w:val="20"/>
          <w:szCs w:val="20"/>
          <w:u w:val="single"/>
        </w:rPr>
        <w:fldChar w:fldCharType="end"/>
      </w:r>
      <w:r>
        <w:rPr>
          <w:rFonts w:ascii="Arial" w:hAnsi="Arial" w:eastAsia="Arial" w:cs="Arial"/>
          <w:color w:val="000000"/>
          <w:sz w:val="20"/>
          <w:szCs w:val="20"/>
        </w:rPr>
        <w:t>).</w:t>
      </w:r>
    </w:p>
    <w:p w14:paraId="0268714C">
      <w:pPr>
        <w:numPr>
          <w:ilvl w:val="2"/>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\h </w:instrText>
      </w:r>
      <w:r>
        <w:fldChar w:fldCharType="separate"/>
      </w:r>
      <w:r>
        <w:rPr>
          <w:rFonts w:ascii="Arial" w:hAnsi="Arial" w:eastAsia="Arial" w:cs="Arial"/>
          <w:color w:val="000080"/>
          <w:sz w:val="20"/>
          <w:szCs w:val="20"/>
          <w:u w:val="single"/>
        </w:rPr>
        <w:t>art. 157, da Lei nº 14.133, de 2021</w:t>
      </w:r>
      <w:r>
        <w:rPr>
          <w:rFonts w:ascii="Arial" w:hAnsi="Arial" w:eastAsia="Arial" w:cs="Arial"/>
          <w:color w:val="000080"/>
          <w:sz w:val="20"/>
          <w:szCs w:val="20"/>
          <w:u w:val="single"/>
        </w:rPr>
        <w:fldChar w:fldCharType="end"/>
      </w:r>
      <w:r>
        <w:rPr>
          <w:rFonts w:ascii="Arial" w:hAnsi="Arial" w:eastAsia="Arial" w:cs="Arial"/>
          <w:color w:val="000000"/>
          <w:sz w:val="20"/>
          <w:szCs w:val="20"/>
        </w:rPr>
        <w:t>)</w:t>
      </w:r>
    </w:p>
    <w:p w14:paraId="7BCF2E6C">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"art156%C2%A78" \h </w:instrText>
      </w:r>
      <w:r>
        <w:fldChar w:fldCharType="separate"/>
      </w:r>
      <w:r>
        <w:rPr>
          <w:rFonts w:ascii="Arial" w:hAnsi="Arial" w:eastAsia="Arial" w:cs="Arial"/>
          <w:color w:val="000080"/>
          <w:sz w:val="20"/>
          <w:szCs w:val="20"/>
          <w:u w:val="single"/>
        </w:rPr>
        <w:t>art. 156, §8º, da Lei nº 14.133, de 2021</w:t>
      </w:r>
      <w:r>
        <w:rPr>
          <w:rFonts w:ascii="Arial" w:hAnsi="Arial" w:eastAsia="Arial" w:cs="Arial"/>
          <w:color w:val="000080"/>
          <w:sz w:val="20"/>
          <w:szCs w:val="20"/>
          <w:u w:val="single"/>
        </w:rPr>
        <w:fldChar w:fldCharType="end"/>
      </w:r>
      <w:r>
        <w:rPr>
          <w:rFonts w:ascii="Arial" w:hAnsi="Arial" w:eastAsia="Arial" w:cs="Arial"/>
          <w:color w:val="000000"/>
          <w:sz w:val="20"/>
          <w:szCs w:val="20"/>
        </w:rPr>
        <w:t>).</w:t>
      </w:r>
    </w:p>
    <w:p w14:paraId="5634DFD2">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bookmarkStart w:id="4" w:name="_2et92p0" w:colFirst="0" w:colLast="0"/>
      <w:bookmarkEnd w:id="4"/>
      <w:r>
        <w:rPr>
          <w:rFonts w:ascii="Arial" w:hAnsi="Arial" w:eastAsia="Arial" w:cs="Arial"/>
          <w:color w:val="000000"/>
          <w:sz w:val="20"/>
          <w:szCs w:val="20"/>
        </w:rPr>
        <w:t xml:space="preserve">Previamente ao encaminhamento à cobrança judicial, a multa poderá ser recolhida administrativamente no prazo máximo de </w:t>
      </w:r>
      <w:r>
        <w:rPr>
          <w:rFonts w:ascii="Arial" w:hAnsi="Arial" w:eastAsia="Arial" w:cs="Arial"/>
          <w:i/>
          <w:color w:val="FF0000"/>
          <w:sz w:val="20"/>
          <w:szCs w:val="20"/>
        </w:rPr>
        <w:t xml:space="preserve">XX (XXXX) </w:t>
      </w:r>
      <w:r>
        <w:rPr>
          <w:rFonts w:ascii="Arial" w:hAnsi="Arial" w:eastAsia="Arial" w:cs="Arial"/>
          <w:color w:val="000000"/>
          <w:sz w:val="20"/>
          <w:szCs w:val="20"/>
        </w:rPr>
        <w:t>dias, a contar da data do recebimento da comunicação enviada pela autoridade competente.</w:t>
      </w:r>
    </w:p>
    <w:p w14:paraId="457B4C23">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 xml:space="preserve">A aplicação das sanções realizar-se-á em processo administrativo que assegure o contraditório e a ampla defesa ao Contratado, observando-se o procedimento previsto no </w:t>
      </w:r>
      <w:r>
        <w:rPr>
          <w:rFonts w:ascii="Arial" w:hAnsi="Arial" w:eastAsia="Arial" w:cs="Arial"/>
          <w:b/>
          <w:color w:val="000000"/>
          <w:sz w:val="20"/>
          <w:szCs w:val="20"/>
        </w:rPr>
        <w:t xml:space="preserve">caput </w:t>
      </w:r>
      <w:r>
        <w:rPr>
          <w:rFonts w:ascii="Arial" w:hAnsi="Arial" w:eastAsia="Arial" w:cs="Arial"/>
          <w:color w:val="000000"/>
          <w:sz w:val="20"/>
          <w:szCs w:val="20"/>
        </w:rPr>
        <w:t xml:space="preserve">e parágrafos do </w:t>
      </w:r>
      <w:r>
        <w:fldChar w:fldCharType="begin"/>
      </w:r>
      <w:r>
        <w:instrText xml:space="preserve"> HYPERLINK "http://www.planalto.gov.br/ccivil_03/_ato2019-2022/2021/lei/L14133.htm" \l "art158" \h </w:instrText>
      </w:r>
      <w:r>
        <w:fldChar w:fldCharType="separate"/>
      </w:r>
      <w:r>
        <w:rPr>
          <w:rFonts w:ascii="Arial" w:hAnsi="Arial" w:eastAsia="Arial" w:cs="Arial"/>
          <w:color w:val="000080"/>
          <w:sz w:val="20"/>
          <w:szCs w:val="20"/>
          <w:u w:val="single"/>
        </w:rPr>
        <w:t>art. 158 da Lei nº 14.133, de 2021</w:t>
      </w:r>
      <w:r>
        <w:rPr>
          <w:rFonts w:ascii="Arial" w:hAnsi="Arial" w:eastAsia="Arial" w:cs="Arial"/>
          <w:color w:val="000080"/>
          <w:sz w:val="20"/>
          <w:szCs w:val="20"/>
          <w:u w:val="single"/>
        </w:rPr>
        <w:fldChar w:fldCharType="end"/>
      </w:r>
      <w:r>
        <w:rPr>
          <w:rFonts w:ascii="Arial" w:hAnsi="Arial" w:eastAsia="Arial" w:cs="Arial"/>
          <w:color w:val="000000"/>
          <w:sz w:val="20"/>
          <w:szCs w:val="20"/>
        </w:rPr>
        <w:t>, para as penalidades de impedimento de licitar e contratar e de declaração de inidoneidade para licitar ou contratar.</w:t>
      </w:r>
    </w:p>
    <w:p w14:paraId="2624B42E">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Na aplicação das sanções serão considerados (</w:t>
      </w:r>
      <w:r>
        <w:fldChar w:fldCharType="begin"/>
      </w:r>
      <w:r>
        <w:instrText xml:space="preserve"> HYPERLINK "http://www.planalto.gov.br/ccivil_03/_ato2019-2022/2021/lei/L14133.htm" \l "art156%C2%A71" \h </w:instrText>
      </w:r>
      <w:r>
        <w:fldChar w:fldCharType="separate"/>
      </w:r>
      <w:r>
        <w:rPr>
          <w:rFonts w:ascii="Arial" w:hAnsi="Arial" w:eastAsia="Arial" w:cs="Arial"/>
          <w:color w:val="000080"/>
          <w:sz w:val="20"/>
          <w:szCs w:val="20"/>
          <w:u w:val="single"/>
        </w:rPr>
        <w:t>art. 156, §1º, da Lei nº 14.133, de 2021</w:t>
      </w:r>
      <w:r>
        <w:rPr>
          <w:rFonts w:ascii="Arial" w:hAnsi="Arial" w:eastAsia="Arial" w:cs="Arial"/>
          <w:color w:val="000080"/>
          <w:sz w:val="20"/>
          <w:szCs w:val="20"/>
          <w:u w:val="single"/>
        </w:rPr>
        <w:fldChar w:fldCharType="end"/>
      </w:r>
      <w:r>
        <w:rPr>
          <w:rFonts w:ascii="Arial" w:hAnsi="Arial" w:eastAsia="Arial" w:cs="Arial"/>
          <w:color w:val="000000"/>
          <w:sz w:val="20"/>
          <w:szCs w:val="20"/>
        </w:rPr>
        <w:t>):</w:t>
      </w:r>
    </w:p>
    <w:p w14:paraId="69211DE7">
      <w:pPr>
        <w:numPr>
          <w:ilvl w:val="0"/>
          <w:numId w:val="5"/>
        </w:numPr>
        <w:spacing w:before="120" w:line="276" w:lineRule="auto"/>
        <w:ind w:left="0" w:firstLine="720"/>
        <w:jc w:val="both"/>
        <w:rPr>
          <w:rFonts w:ascii="Arial" w:hAnsi="Arial" w:eastAsia="Arial" w:cs="Arial"/>
          <w:sz w:val="20"/>
          <w:szCs w:val="20"/>
        </w:rPr>
      </w:pPr>
      <w:r>
        <w:rPr>
          <w:rFonts w:ascii="Arial" w:hAnsi="Arial" w:eastAsia="Arial" w:cs="Arial"/>
          <w:sz w:val="20"/>
          <w:szCs w:val="20"/>
        </w:rPr>
        <w:t>a natureza e a gravidade da infração cometida;</w:t>
      </w:r>
    </w:p>
    <w:p w14:paraId="368514EA">
      <w:pPr>
        <w:numPr>
          <w:ilvl w:val="0"/>
          <w:numId w:val="5"/>
        </w:numPr>
        <w:spacing w:line="276" w:lineRule="auto"/>
        <w:ind w:left="0" w:firstLine="720"/>
        <w:jc w:val="both"/>
        <w:rPr>
          <w:rFonts w:ascii="Arial" w:hAnsi="Arial" w:eastAsia="Arial" w:cs="Arial"/>
          <w:sz w:val="20"/>
          <w:szCs w:val="20"/>
        </w:rPr>
      </w:pPr>
      <w:r>
        <w:rPr>
          <w:rFonts w:ascii="Arial" w:hAnsi="Arial" w:eastAsia="Arial" w:cs="Arial"/>
          <w:sz w:val="20"/>
          <w:szCs w:val="20"/>
        </w:rPr>
        <w:t>as peculiaridades do caso concreto;</w:t>
      </w:r>
    </w:p>
    <w:p w14:paraId="2A80215D">
      <w:pPr>
        <w:numPr>
          <w:ilvl w:val="0"/>
          <w:numId w:val="5"/>
        </w:numPr>
        <w:spacing w:line="276" w:lineRule="auto"/>
        <w:ind w:left="0" w:firstLine="720"/>
        <w:jc w:val="both"/>
        <w:rPr>
          <w:rFonts w:ascii="Arial" w:hAnsi="Arial" w:eastAsia="Arial" w:cs="Arial"/>
          <w:sz w:val="20"/>
          <w:szCs w:val="20"/>
        </w:rPr>
      </w:pPr>
      <w:r>
        <w:rPr>
          <w:rFonts w:ascii="Arial" w:hAnsi="Arial" w:eastAsia="Arial" w:cs="Arial"/>
          <w:sz w:val="20"/>
          <w:szCs w:val="20"/>
        </w:rPr>
        <w:t>as circunstâncias agravantes ou atenuantes;</w:t>
      </w:r>
    </w:p>
    <w:p w14:paraId="108CA3C9">
      <w:pPr>
        <w:numPr>
          <w:ilvl w:val="0"/>
          <w:numId w:val="5"/>
        </w:numPr>
        <w:spacing w:line="276" w:lineRule="auto"/>
        <w:ind w:left="0" w:firstLine="720"/>
        <w:jc w:val="both"/>
        <w:rPr>
          <w:rFonts w:ascii="Arial" w:hAnsi="Arial" w:eastAsia="Arial" w:cs="Arial"/>
          <w:sz w:val="20"/>
          <w:szCs w:val="20"/>
        </w:rPr>
      </w:pPr>
      <w:r>
        <w:rPr>
          <w:rFonts w:ascii="Arial" w:hAnsi="Arial" w:eastAsia="Arial" w:cs="Arial"/>
          <w:sz w:val="20"/>
          <w:szCs w:val="20"/>
        </w:rPr>
        <w:t>os danos que dela provierem para o Contratante;</w:t>
      </w:r>
    </w:p>
    <w:p w14:paraId="7E7415EE">
      <w:pPr>
        <w:numPr>
          <w:ilvl w:val="0"/>
          <w:numId w:val="5"/>
        </w:numPr>
        <w:spacing w:after="120" w:line="276" w:lineRule="auto"/>
        <w:ind w:left="0" w:firstLine="720"/>
        <w:jc w:val="both"/>
        <w:rPr>
          <w:rFonts w:ascii="Arial" w:hAnsi="Arial" w:eastAsia="Arial" w:cs="Arial"/>
          <w:sz w:val="20"/>
          <w:szCs w:val="20"/>
        </w:rPr>
      </w:pPr>
      <w:r>
        <w:rPr>
          <w:rFonts w:ascii="Arial" w:hAnsi="Arial" w:eastAsia="Arial" w:cs="Arial"/>
          <w:sz w:val="20"/>
          <w:szCs w:val="20"/>
        </w:rPr>
        <w:t>a implantação ou o aperfeiçoamento de programa de integridade, conforme normas e orientações dos órgãos de controle.</w:t>
      </w:r>
    </w:p>
    <w:p w14:paraId="467A4957">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 xml:space="preserve">Os atos previstos como infrações administrativas na </w:t>
      </w:r>
      <w:r>
        <w:fldChar w:fldCharType="begin"/>
      </w:r>
      <w:r>
        <w:instrText xml:space="preserve"> HYPERLINK "http://www.planalto.gov.br/ccivil_03/_ato2019-2022/2021/lei/L14133.htm" \h </w:instrText>
      </w:r>
      <w:r>
        <w:fldChar w:fldCharType="separate"/>
      </w:r>
      <w:r>
        <w:rPr>
          <w:rFonts w:ascii="Arial" w:hAnsi="Arial" w:eastAsia="Arial" w:cs="Arial"/>
          <w:color w:val="000080"/>
          <w:sz w:val="20"/>
          <w:szCs w:val="20"/>
          <w:u w:val="single"/>
        </w:rPr>
        <w:t>Lei nº 14.133, de 2021</w:t>
      </w:r>
      <w:r>
        <w:rPr>
          <w:rFonts w:ascii="Arial" w:hAnsi="Arial" w:eastAsia="Arial" w:cs="Arial"/>
          <w:color w:val="000080"/>
          <w:sz w:val="20"/>
          <w:szCs w:val="20"/>
          <w:u w:val="single"/>
        </w:rPr>
        <w:fldChar w:fldCharType="end"/>
      </w:r>
      <w:r>
        <w:rPr>
          <w:rFonts w:ascii="Arial" w:hAnsi="Arial" w:eastAsia="Arial" w:cs="Arial"/>
          <w:color w:val="000000"/>
          <w:sz w:val="20"/>
          <w:szCs w:val="20"/>
        </w:rPr>
        <w:t xml:space="preserve">, ou em outras leis de licitações e contratos da Administração Pública que também sejam tipificados como atos lesivos </w:t>
      </w:r>
      <w:r>
        <w:fldChar w:fldCharType="begin"/>
      </w:r>
      <w:r>
        <w:instrText xml:space="preserve"> HYPERLINK "https://www.planalto.gov.br/ccivil_03/_ato2011-2014/2013/lei/l12846.htm" \h </w:instrText>
      </w:r>
      <w:r>
        <w:fldChar w:fldCharType="separate"/>
      </w:r>
      <w:r>
        <w:rPr>
          <w:rFonts w:ascii="Arial" w:hAnsi="Arial" w:eastAsia="Arial" w:cs="Arial"/>
          <w:color w:val="000080"/>
          <w:sz w:val="20"/>
          <w:szCs w:val="20"/>
          <w:u w:val="single"/>
        </w:rPr>
        <w:t>na Lei nº 12.846, de 2013</w:t>
      </w:r>
      <w:r>
        <w:rPr>
          <w:rFonts w:ascii="Arial" w:hAnsi="Arial" w:eastAsia="Arial" w:cs="Arial"/>
          <w:color w:val="000080"/>
          <w:sz w:val="20"/>
          <w:szCs w:val="20"/>
          <w:u w:val="single"/>
        </w:rPr>
        <w:fldChar w:fldCharType="end"/>
      </w:r>
      <w:r>
        <w:rPr>
          <w:rFonts w:ascii="Arial" w:hAnsi="Arial" w:eastAsia="Arial" w:cs="Arial"/>
          <w:color w:val="000000"/>
          <w:sz w:val="20"/>
          <w:szCs w:val="20"/>
        </w:rPr>
        <w:t xml:space="preserve">, serão apurados e julgados conjuntamente, nos mesmos autos, observados o rito procedimental e autoridade competente definidos na referida </w:t>
      </w:r>
      <w:r>
        <w:fldChar w:fldCharType="begin"/>
      </w:r>
      <w:r>
        <w:instrText xml:space="preserve"> HYPERLINK "http://www.planalto.gov.br/ccivil_03/_ato2019-2022/2021/lei/L14133.htm" \l "art159" \h </w:instrText>
      </w:r>
      <w:r>
        <w:fldChar w:fldCharType="separate"/>
      </w:r>
      <w:r>
        <w:rPr>
          <w:rFonts w:ascii="Arial" w:hAnsi="Arial" w:eastAsia="Arial" w:cs="Arial"/>
          <w:color w:val="000080"/>
          <w:sz w:val="20"/>
          <w:szCs w:val="20"/>
          <w:u w:val="single"/>
        </w:rPr>
        <w:t>Lei (art. 159</w:t>
      </w:r>
      <w:r>
        <w:rPr>
          <w:rFonts w:ascii="Arial" w:hAnsi="Arial" w:eastAsia="Arial" w:cs="Arial"/>
          <w:color w:val="000080"/>
          <w:sz w:val="20"/>
          <w:szCs w:val="20"/>
          <w:u w:val="single"/>
        </w:rPr>
        <w:fldChar w:fldCharType="end"/>
      </w:r>
      <w:r>
        <w:rPr>
          <w:rFonts w:ascii="Arial" w:hAnsi="Arial" w:eastAsia="Arial" w:cs="Arial"/>
          <w:color w:val="000000"/>
          <w:sz w:val="20"/>
          <w:szCs w:val="20"/>
        </w:rPr>
        <w:t>).</w:t>
      </w:r>
    </w:p>
    <w:p w14:paraId="5C5C6E70">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rial" w:hAnsi="Arial" w:eastAsia="Arial" w:cs="Arial"/>
        </w:rPr>
      </w:pPr>
      <w:r>
        <w:rPr>
          <w:rFonts w:ascii="Arial" w:hAnsi="Arial" w:eastAsia="Arial" w:cs="Arial"/>
          <w:color w:val="000000"/>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\h </w:instrText>
      </w:r>
      <w:r>
        <w:fldChar w:fldCharType="separate"/>
      </w:r>
      <w:r>
        <w:rPr>
          <w:rFonts w:ascii="Arial" w:hAnsi="Arial" w:eastAsia="Arial" w:cs="Arial"/>
          <w:color w:val="000080"/>
          <w:sz w:val="20"/>
          <w:szCs w:val="20"/>
          <w:u w:val="single"/>
        </w:rPr>
        <w:t>art. 160, da Lei nº 14.133, de 2021</w:t>
      </w:r>
      <w:r>
        <w:rPr>
          <w:rFonts w:ascii="Arial" w:hAnsi="Arial" w:eastAsia="Arial" w:cs="Arial"/>
          <w:color w:val="000080"/>
          <w:sz w:val="20"/>
          <w:szCs w:val="20"/>
          <w:u w:val="single"/>
        </w:rPr>
        <w:fldChar w:fldCharType="end"/>
      </w:r>
      <w:r>
        <w:rPr>
          <w:rFonts w:ascii="Arial" w:hAnsi="Arial" w:eastAsia="Arial" w:cs="Arial"/>
          <w:color w:val="000000"/>
          <w:sz w:val="20"/>
          <w:szCs w:val="20"/>
        </w:rPr>
        <w:t>)</w:t>
      </w:r>
    </w:p>
    <w:p w14:paraId="6105A4BD">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rial" w:hAnsi="Arial" w:eastAsia="Arial" w:cs="Arial"/>
        </w:rPr>
      </w:pPr>
      <w:r>
        <w:rPr>
          <w:rFonts w:ascii="Arial" w:hAnsi="Arial" w:eastAsia="Arial" w:cs="Arial"/>
          <w:color w:val="000000"/>
          <w:sz w:val="20"/>
          <w:szCs w:val="20"/>
        </w:rPr>
        <w:t xml:space="preserve"> O Contratante deverá, no prazo máximo de</w:t>
      </w:r>
      <w:r>
        <w:rPr>
          <w:rFonts w:ascii="Arial" w:hAnsi="Arial" w:eastAsia="Arial" w:cs="Arial"/>
          <w:color w:val="00B050"/>
          <w:sz w:val="20"/>
          <w:szCs w:val="20"/>
        </w:rPr>
        <w:t xml:space="preserve"> </w:t>
      </w:r>
      <w:r>
        <w:rPr>
          <w:rFonts w:ascii="Arial" w:hAnsi="Arial" w:eastAsia="Arial" w:cs="Arial"/>
          <w:color w:val="000000"/>
          <w:sz w:val="20"/>
          <w:szCs w:val="20"/>
        </w:rPr>
        <w:t>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rFonts w:ascii="Arial" w:hAnsi="Arial" w:eastAsia="Arial" w:cs="Arial"/>
          <w:color w:val="000080"/>
          <w:sz w:val="20"/>
          <w:szCs w:val="20"/>
          <w:u w:val="single"/>
        </w:rPr>
        <w:t>Art. 161, da Lei nº 14.133, de 2021</w:t>
      </w:r>
      <w:r>
        <w:rPr>
          <w:rFonts w:ascii="Arial" w:hAnsi="Arial" w:eastAsia="Arial" w:cs="Arial"/>
          <w:color w:val="000080"/>
          <w:sz w:val="20"/>
          <w:szCs w:val="20"/>
          <w:u w:val="single"/>
        </w:rPr>
        <w:fldChar w:fldCharType="end"/>
      </w:r>
      <w:r>
        <w:rPr>
          <w:rFonts w:ascii="Arial" w:hAnsi="Arial" w:eastAsia="Arial" w:cs="Arial"/>
          <w:color w:val="000000"/>
          <w:sz w:val="20"/>
          <w:szCs w:val="20"/>
        </w:rPr>
        <w:t>)</w:t>
      </w:r>
    </w:p>
    <w:p w14:paraId="308DCFA3">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rial" w:hAnsi="Arial" w:eastAsia="Arial" w:cs="Arial"/>
        </w:rPr>
      </w:pPr>
      <w:r>
        <w:rPr>
          <w:rFonts w:ascii="Arial" w:hAnsi="Arial" w:eastAsia="Arial" w:cs="Arial"/>
          <w:color w:val="000000"/>
          <w:sz w:val="20"/>
          <w:szCs w:val="20"/>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"art163" \h </w:instrText>
      </w:r>
      <w:r>
        <w:fldChar w:fldCharType="separate"/>
      </w:r>
      <w:r>
        <w:rPr>
          <w:rFonts w:ascii="Arial" w:hAnsi="Arial" w:eastAsia="Arial" w:cs="Arial"/>
          <w:color w:val="000080"/>
          <w:sz w:val="20"/>
          <w:szCs w:val="20"/>
          <w:u w:val="single"/>
        </w:rPr>
        <w:t>art. 163 da Lei nº 14.133/21.</w:t>
      </w:r>
      <w:r>
        <w:rPr>
          <w:rFonts w:ascii="Arial" w:hAnsi="Arial" w:eastAsia="Arial" w:cs="Arial"/>
          <w:color w:val="000080"/>
          <w:sz w:val="20"/>
          <w:szCs w:val="20"/>
          <w:u w:val="single"/>
        </w:rPr>
        <w:fldChar w:fldCharType="end"/>
      </w:r>
    </w:p>
    <w:p w14:paraId="4B63660C">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r>
        <w:fldChar w:fldCharType="begin"/>
      </w:r>
      <w:r>
        <w:instrText xml:space="preserve"> HYPERLINK "https://www.gov.br/compras/pt-br/acesso-a-informacao/legislacao/instrucoes-normativas/instrucao-normativa-seges-me-no-26-de-13-de-abril-de-2022" \h </w:instrText>
      </w:r>
      <w:r>
        <w:fldChar w:fldCharType="separate"/>
      </w:r>
      <w:r>
        <w:rPr>
          <w:rFonts w:ascii="Arial" w:hAnsi="Arial" w:eastAsia="Arial" w:cs="Arial"/>
          <w:color w:val="000080"/>
          <w:sz w:val="20"/>
          <w:szCs w:val="20"/>
          <w:u w:val="single"/>
        </w:rPr>
        <w:t>Instrução Normativa SEGES/ME nº 26, de 13 de abril de 2022</w:t>
      </w:r>
      <w:r>
        <w:rPr>
          <w:rFonts w:ascii="Arial" w:hAnsi="Arial" w:eastAsia="Arial" w:cs="Arial"/>
          <w:color w:val="000080"/>
          <w:sz w:val="20"/>
          <w:szCs w:val="20"/>
          <w:u w:val="single"/>
        </w:rPr>
        <w:fldChar w:fldCharType="end"/>
      </w:r>
      <w:r>
        <w:rPr>
          <w:rFonts w:ascii="Arial" w:hAnsi="Arial" w:eastAsia="Arial" w:cs="Arial"/>
          <w:color w:val="000000"/>
          <w:sz w:val="20"/>
          <w:szCs w:val="20"/>
        </w:rPr>
        <w:t xml:space="preserve">. </w:t>
      </w:r>
    </w:p>
    <w:p w14:paraId="3F4EBF4A">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jc w:val="both"/>
        <w:rPr>
          <w:rFonts w:ascii="Arial" w:hAnsi="Arial" w:eastAsia="Arial" w:cs="Arial"/>
          <w:color w:val="FFFFFF"/>
          <w:sz w:val="20"/>
          <w:szCs w:val="20"/>
        </w:rPr>
      </w:pPr>
      <w:r>
        <w:rPr>
          <w:rFonts w:ascii="Arial" w:hAnsi="Arial" w:eastAsia="Arial" w:cs="Arial"/>
          <w:b/>
          <w:color w:val="000000"/>
          <w:sz w:val="20"/>
          <w:szCs w:val="20"/>
        </w:rPr>
        <w:tab/>
      </w:r>
      <w:commentRangeStart w:id="22"/>
      <w:r>
        <w:rPr>
          <w:rFonts w:ascii="Arial" w:hAnsi="Arial" w:eastAsia="Arial" w:cs="Arial"/>
          <w:b/>
          <w:color w:val="000000"/>
          <w:sz w:val="20"/>
          <w:szCs w:val="20"/>
        </w:rPr>
        <w:t>CLÁUSULA DÉCIMA TERCEIRA – DA EXTINÇÃO CONTRATUAL (</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80"/>
          <w:sz w:val="20"/>
          <w:szCs w:val="20"/>
          <w:u w:val="single"/>
        </w:rPr>
        <w:t>art. 92, XIX</w:t>
      </w:r>
      <w:r>
        <w:rPr>
          <w:rFonts w:ascii="Arial" w:hAnsi="Arial" w:eastAsia="Arial" w:cs="Arial"/>
          <w:b/>
          <w:color w:val="000080"/>
          <w:sz w:val="20"/>
          <w:szCs w:val="20"/>
          <w:u w:val="single"/>
        </w:rPr>
        <w:fldChar w:fldCharType="end"/>
      </w:r>
      <w:r>
        <w:rPr>
          <w:rFonts w:ascii="Arial" w:hAnsi="Arial" w:eastAsia="Arial" w:cs="Arial"/>
          <w:b/>
          <w:color w:val="000000"/>
          <w:sz w:val="20"/>
          <w:szCs w:val="20"/>
        </w:rPr>
        <w:t>)</w:t>
      </w:r>
      <w:commentRangeEnd w:id="22"/>
      <w:r>
        <w:commentReference w:id="22"/>
      </w:r>
    </w:p>
    <w:p w14:paraId="033CB312">
      <w:pPr>
        <w:pStyle w:val="21"/>
        <w:numPr>
          <w:ilvl w:val="0"/>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rial" w:hAnsi="Arial" w:eastAsia="Arial" w:cs="Arial"/>
          <w:i/>
          <w:vanish/>
          <w:color w:val="FF0000"/>
          <w:sz w:val="20"/>
          <w:szCs w:val="20"/>
        </w:rPr>
      </w:pPr>
    </w:p>
    <w:p w14:paraId="4B0D470F">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i/>
          <w:color w:val="FF0000"/>
          <w:sz w:val="20"/>
          <w:szCs w:val="20"/>
        </w:rPr>
        <w:t>O contrato será extinto quando cumpridas as obrigações de ambas as partes, ainda que isso ocorra antes do prazo estipulado para tanto.</w:t>
      </w:r>
    </w:p>
    <w:p w14:paraId="576BE7BC">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i/>
          <w:color w:val="FF0000"/>
          <w:sz w:val="20"/>
          <w:szCs w:val="20"/>
        </w:rPr>
        <w:t>Se as obrigações não forem cumpridas no prazo estipulado, a vigência ficará prorrogada até a conclusão do objeto, caso em que deverá a Administração providenciar a readequação do cronograma fixado para o contrato.</w:t>
      </w:r>
    </w:p>
    <w:p w14:paraId="61A5F69B">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i/>
          <w:color w:val="FF0000"/>
          <w:sz w:val="20"/>
          <w:szCs w:val="20"/>
        </w:rPr>
        <w:t>Quando a não conclusão do contrato referida no item anterior decorrer de culpa do contratado:</w:t>
      </w:r>
    </w:p>
    <w:p w14:paraId="36F273F2">
      <w:pPr>
        <w:numPr>
          <w:ilvl w:val="0"/>
          <w:numId w:val="6"/>
        </w:numPr>
        <w:pBdr>
          <w:top w:val="none" w:color="auto" w:sz="0" w:space="0"/>
          <w:left w:val="none" w:color="auto" w:sz="0" w:space="0"/>
          <w:bottom w:val="none" w:color="auto" w:sz="0" w:space="0"/>
          <w:right w:val="none" w:color="auto" w:sz="0" w:space="0"/>
          <w:between w:val="none" w:color="auto" w:sz="0" w:space="0"/>
        </w:pBdr>
        <w:spacing w:before="120" w:line="276" w:lineRule="auto"/>
        <w:ind w:left="0" w:firstLine="720"/>
        <w:jc w:val="both"/>
        <w:rPr>
          <w:rFonts w:ascii="Arial" w:hAnsi="Arial" w:eastAsia="Arial" w:cs="Arial"/>
          <w:i/>
          <w:color w:val="FF0000"/>
          <w:sz w:val="20"/>
          <w:szCs w:val="20"/>
        </w:rPr>
      </w:pPr>
      <w:r>
        <w:rPr>
          <w:rFonts w:ascii="Arial" w:hAnsi="Arial" w:eastAsia="Arial" w:cs="Arial"/>
          <w:i/>
          <w:color w:val="FF0000"/>
          <w:sz w:val="20"/>
          <w:szCs w:val="20"/>
        </w:rPr>
        <w:t xml:space="preserve">ficará ele constituído em mora, sendo-lhe aplicáveis as respectivas sanções administrativas; e  </w:t>
      </w:r>
    </w:p>
    <w:p w14:paraId="0E56EA60">
      <w:pPr>
        <w:numPr>
          <w:ilvl w:val="0"/>
          <w:numId w:val="6"/>
        </w:numPr>
        <w:pBdr>
          <w:top w:val="none" w:color="auto" w:sz="0" w:space="0"/>
          <w:left w:val="none" w:color="auto" w:sz="0" w:space="0"/>
          <w:bottom w:val="none" w:color="auto" w:sz="0" w:space="0"/>
          <w:right w:val="none" w:color="auto" w:sz="0" w:space="0"/>
          <w:between w:val="none" w:color="auto" w:sz="0" w:space="0"/>
        </w:pBdr>
        <w:spacing w:after="120" w:line="276" w:lineRule="auto"/>
        <w:ind w:left="0" w:firstLine="720"/>
        <w:jc w:val="both"/>
        <w:rPr>
          <w:rFonts w:ascii="Arial" w:hAnsi="Arial" w:eastAsia="Arial" w:cs="Arial"/>
          <w:i/>
          <w:color w:val="FF0000"/>
          <w:sz w:val="20"/>
          <w:szCs w:val="20"/>
        </w:rPr>
      </w:pPr>
      <w:r>
        <w:rPr>
          <w:rFonts w:ascii="Arial" w:hAnsi="Arial" w:eastAsia="Arial" w:cs="Arial"/>
          <w:i/>
          <w:color w:val="FF0000"/>
          <w:sz w:val="20"/>
          <w:szCs w:val="20"/>
        </w:rPr>
        <w:t>poderá a Administração optar pela extinção do contrato e, nesse caso, adotará as medidas admitidas em lei para a continuidade da execução contratual</w:t>
      </w:r>
    </w:p>
    <w:p w14:paraId="376A2816">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 xml:space="preserve">O contrato poderá 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rFonts w:ascii="Arial" w:hAnsi="Arial" w:eastAsia="Arial" w:cs="Arial"/>
          <w:color w:val="000080"/>
          <w:sz w:val="20"/>
          <w:szCs w:val="20"/>
          <w:u w:val="single"/>
        </w:rPr>
        <w:t>artigo 137 da Lei nº 14.133/21</w:t>
      </w:r>
      <w:r>
        <w:rPr>
          <w:rFonts w:ascii="Arial" w:hAnsi="Arial" w:eastAsia="Arial" w:cs="Arial"/>
          <w:color w:val="000080"/>
          <w:sz w:val="20"/>
          <w:szCs w:val="20"/>
          <w:u w:val="single"/>
        </w:rPr>
        <w:fldChar w:fldCharType="end"/>
      </w:r>
      <w:r>
        <w:rPr>
          <w:rFonts w:ascii="Arial" w:hAnsi="Arial" w:eastAsia="Arial" w:cs="Arial"/>
          <w:color w:val="000000"/>
          <w:sz w:val="20"/>
          <w:szCs w:val="20"/>
        </w:rPr>
        <w:t>, bem como amigavelmente, assegurados o contraditório e a ampla defesa.</w:t>
      </w:r>
    </w:p>
    <w:p w14:paraId="7E90AB35">
      <w:pPr>
        <w:numPr>
          <w:ilvl w:val="2"/>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 xml:space="preserve">Nesta hipótese, aplicam-se também os </w:t>
      </w:r>
      <w:r>
        <w:fldChar w:fldCharType="begin"/>
      </w:r>
      <w:r>
        <w:instrText xml:space="preserve"> HYPERLINK "http://www.planalto.gov.br/ccivil_03/_ato2019-2022/2021/lei/L14133.htm" \l "art138" \h </w:instrText>
      </w:r>
      <w:r>
        <w:fldChar w:fldCharType="separate"/>
      </w:r>
      <w:r>
        <w:rPr>
          <w:rFonts w:ascii="Arial" w:hAnsi="Arial" w:eastAsia="Arial" w:cs="Arial"/>
          <w:color w:val="000080"/>
          <w:sz w:val="20"/>
          <w:szCs w:val="20"/>
          <w:u w:val="single"/>
        </w:rPr>
        <w:t>artigos 138 e 139</w:t>
      </w:r>
      <w:r>
        <w:rPr>
          <w:rFonts w:ascii="Arial" w:hAnsi="Arial" w:eastAsia="Arial" w:cs="Arial"/>
          <w:color w:val="000080"/>
          <w:sz w:val="20"/>
          <w:szCs w:val="20"/>
          <w:u w:val="single"/>
        </w:rPr>
        <w:fldChar w:fldCharType="end"/>
      </w:r>
      <w:r>
        <w:rPr>
          <w:rFonts w:ascii="Arial" w:hAnsi="Arial" w:eastAsia="Arial" w:cs="Arial"/>
          <w:color w:val="000000"/>
          <w:sz w:val="20"/>
          <w:szCs w:val="20"/>
        </w:rPr>
        <w:t xml:space="preserve"> da mesma Lei.</w:t>
      </w:r>
    </w:p>
    <w:p w14:paraId="0F04FA95">
      <w:pPr>
        <w:numPr>
          <w:ilvl w:val="2"/>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A alteração social ou a modificação da finalidade ou da estrutura da empresa não ensejará a extinção se não restringir sua capacidade de concluir o contrato.</w:t>
      </w:r>
    </w:p>
    <w:p w14:paraId="4D0DD003">
      <w:pPr>
        <w:numPr>
          <w:ilvl w:val="3"/>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Se a operação implicar mudança da pessoa jurídica contratada, deverá ser formalizado termo aditivo para alteração subjetiva.</w:t>
      </w:r>
    </w:p>
    <w:p w14:paraId="25F1F189">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O termo de extinção, sempre que possível, será precedido:</w:t>
      </w:r>
    </w:p>
    <w:p w14:paraId="4DCBE491">
      <w:pPr>
        <w:numPr>
          <w:ilvl w:val="3"/>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Balanço dos eventos contratuais já cumpridos ou parcialmente cumpridos;</w:t>
      </w:r>
    </w:p>
    <w:p w14:paraId="220C79AD">
      <w:pPr>
        <w:numPr>
          <w:ilvl w:val="3"/>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Relação dos pagamentos já efetuados e ainda devidos;</w:t>
      </w:r>
    </w:p>
    <w:p w14:paraId="53A4A402">
      <w:pPr>
        <w:numPr>
          <w:ilvl w:val="3"/>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Indenizações e multas.</w:t>
      </w:r>
    </w:p>
    <w:p w14:paraId="6E34C979">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Fonts w:ascii="Arial" w:hAnsi="Arial" w:eastAsia="Arial" w:cs="Arial"/>
          <w:color w:val="000080"/>
          <w:sz w:val="20"/>
          <w:szCs w:val="20"/>
          <w:u w:val="single"/>
        </w:rPr>
        <w:t xml:space="preserve">art. 131, </w:t>
      </w:r>
      <w:r>
        <w:rPr>
          <w:rFonts w:ascii="Arial" w:hAnsi="Arial" w:eastAsia="Arial" w:cs="Arial"/>
          <w:color w:val="000080"/>
          <w:sz w:val="20"/>
          <w:szCs w:val="20"/>
          <w:u w:val="single"/>
        </w:rPr>
        <w:fldChar w:fldCharType="end"/>
      </w:r>
      <w:r>
        <w:fldChar w:fldCharType="begin"/>
      </w:r>
      <w:r>
        <w:instrText xml:space="preserve"> HYPERLINK "http://www.planalto.gov.br/ccivil_03/_ato2019-2022/2021/lei/L14133.htm" \l "art131" \h </w:instrText>
      </w:r>
      <w:r>
        <w:fldChar w:fldCharType="separate"/>
      </w:r>
      <w:r>
        <w:rPr>
          <w:rFonts w:ascii="Arial" w:hAnsi="Arial" w:eastAsia="Arial" w:cs="Arial"/>
          <w:i/>
          <w:color w:val="000080"/>
          <w:sz w:val="20"/>
          <w:szCs w:val="20"/>
          <w:u w:val="single"/>
        </w:rPr>
        <w:t xml:space="preserve">caput, </w:t>
      </w:r>
      <w:r>
        <w:rPr>
          <w:rFonts w:ascii="Arial" w:hAnsi="Arial" w:eastAsia="Arial" w:cs="Arial"/>
          <w:i/>
          <w:color w:val="000080"/>
          <w:sz w:val="20"/>
          <w:szCs w:val="20"/>
          <w:u w:val="single"/>
        </w:rPr>
        <w:fldChar w:fldCharType="end"/>
      </w:r>
      <w:r>
        <w:fldChar w:fldCharType="begin"/>
      </w:r>
      <w:r>
        <w:instrText xml:space="preserve"> HYPERLINK "http://www.planalto.gov.br/ccivil_03/_ato2019-2022/2021/lei/L14133.htm" \l "art131" \h </w:instrText>
      </w:r>
      <w:r>
        <w:fldChar w:fldCharType="separate"/>
      </w:r>
      <w:r>
        <w:rPr>
          <w:rFonts w:ascii="Arial" w:hAnsi="Arial" w:eastAsia="Arial" w:cs="Arial"/>
          <w:color w:val="000080"/>
          <w:sz w:val="20"/>
          <w:szCs w:val="20"/>
          <w:u w:val="single"/>
        </w:rPr>
        <w:t>da Lei n.º 14.133, de 2021).</w:t>
      </w:r>
      <w:r>
        <w:rPr>
          <w:rFonts w:ascii="Arial" w:hAnsi="Arial" w:eastAsia="Arial" w:cs="Arial"/>
          <w:color w:val="000080"/>
          <w:sz w:val="20"/>
          <w:szCs w:val="20"/>
          <w:u w:val="single"/>
        </w:rPr>
        <w:fldChar w:fldCharType="end"/>
      </w:r>
      <w:r>
        <w:rPr>
          <w:rFonts w:ascii="Arial" w:hAnsi="Arial" w:eastAsia="Arial" w:cs="Arial"/>
          <w:color w:val="000000"/>
          <w:sz w:val="20"/>
          <w:szCs w:val="20"/>
        </w:rPr>
        <w:t xml:space="preserve"> </w:t>
      </w:r>
    </w:p>
    <w:p w14:paraId="7A22249C">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AE3660B">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jc w:val="both"/>
        <w:rPr>
          <w:rFonts w:ascii="Arial" w:hAnsi="Arial" w:eastAsia="Arial" w:cs="Arial"/>
          <w:color w:val="FFFFFF"/>
          <w:sz w:val="20"/>
          <w:szCs w:val="20"/>
        </w:rPr>
      </w:pPr>
      <w:r>
        <w:rPr>
          <w:rFonts w:ascii="Arial" w:hAnsi="Arial" w:eastAsia="Arial" w:cs="Arial"/>
          <w:b/>
          <w:color w:val="000000"/>
          <w:sz w:val="20"/>
          <w:szCs w:val="20"/>
        </w:rPr>
        <w:tab/>
      </w:r>
      <w:r>
        <w:rPr>
          <w:rFonts w:ascii="Arial" w:hAnsi="Arial" w:eastAsia="Arial" w:cs="Arial"/>
          <w:b/>
          <w:color w:val="000000"/>
          <w:sz w:val="20"/>
          <w:szCs w:val="20"/>
        </w:rPr>
        <w:t>CLÁUSULA DÉCIMA QUARTA – DOTAÇÃO ORÇAMENTÁRIA (</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80"/>
          <w:sz w:val="20"/>
          <w:szCs w:val="20"/>
          <w:u w:val="single"/>
        </w:rPr>
        <w:t>art. 92, VIII</w:t>
      </w:r>
      <w:r>
        <w:rPr>
          <w:rFonts w:ascii="Arial" w:hAnsi="Arial" w:eastAsia="Arial" w:cs="Arial"/>
          <w:b/>
          <w:color w:val="000080"/>
          <w:sz w:val="20"/>
          <w:szCs w:val="20"/>
          <w:u w:val="single"/>
        </w:rPr>
        <w:fldChar w:fldCharType="end"/>
      </w:r>
      <w:r>
        <w:rPr>
          <w:rFonts w:ascii="Arial" w:hAnsi="Arial" w:eastAsia="Arial" w:cs="Arial"/>
          <w:b/>
          <w:color w:val="000000"/>
          <w:sz w:val="20"/>
          <w:szCs w:val="20"/>
        </w:rPr>
        <w:t>)</w:t>
      </w:r>
    </w:p>
    <w:p w14:paraId="7519CFAC">
      <w:pPr>
        <w:pStyle w:val="21"/>
        <w:numPr>
          <w:ilvl w:val="0"/>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rial" w:hAnsi="Arial" w:eastAsia="Arial" w:cs="Arial"/>
          <w:vanish/>
          <w:color w:val="000000"/>
          <w:sz w:val="20"/>
          <w:szCs w:val="20"/>
        </w:rPr>
      </w:pPr>
    </w:p>
    <w:p w14:paraId="50CE60BA">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As despesas decorrentes da presente contratação correrão à conta de recursos específicos consignados no Orçamento Geral da União deste exercício, na dotação abaixo discriminada:</w:t>
      </w:r>
    </w:p>
    <w:p w14:paraId="1861AA45">
      <w:pPr>
        <w:numPr>
          <w:ilvl w:val="1"/>
          <w:numId w:val="7"/>
        </w:numPr>
        <w:spacing w:before="120" w:after="120" w:line="276" w:lineRule="auto"/>
        <w:ind w:left="0" w:firstLine="720"/>
        <w:jc w:val="both"/>
        <w:rPr>
          <w:rFonts w:ascii="Arial" w:hAnsi="Arial" w:eastAsia="Arial" w:cs="Arial"/>
          <w:sz w:val="20"/>
          <w:szCs w:val="20"/>
        </w:rPr>
      </w:pPr>
      <w:r>
        <w:rPr>
          <w:rFonts w:ascii="Arial" w:hAnsi="Arial" w:eastAsia="Arial" w:cs="Arial"/>
          <w:sz w:val="20"/>
          <w:szCs w:val="20"/>
        </w:rPr>
        <w:t xml:space="preserve">Gestão/Unidade: </w:t>
      </w:r>
    </w:p>
    <w:p w14:paraId="75CDE5B7">
      <w:pPr>
        <w:numPr>
          <w:ilvl w:val="1"/>
          <w:numId w:val="7"/>
        </w:numPr>
        <w:spacing w:before="120" w:after="120" w:line="276" w:lineRule="auto"/>
        <w:ind w:left="0" w:firstLine="720"/>
        <w:jc w:val="both"/>
        <w:rPr>
          <w:rFonts w:ascii="Arial" w:hAnsi="Arial" w:eastAsia="Arial" w:cs="Arial"/>
          <w:sz w:val="20"/>
          <w:szCs w:val="20"/>
        </w:rPr>
      </w:pPr>
      <w:r>
        <w:rPr>
          <w:rFonts w:ascii="Arial" w:hAnsi="Arial" w:eastAsia="Arial" w:cs="Arial"/>
          <w:sz w:val="20"/>
          <w:szCs w:val="20"/>
        </w:rPr>
        <w:t xml:space="preserve">Fonte de Recursos:  </w:t>
      </w:r>
    </w:p>
    <w:p w14:paraId="76F296B6">
      <w:pPr>
        <w:numPr>
          <w:ilvl w:val="1"/>
          <w:numId w:val="7"/>
        </w:numPr>
        <w:spacing w:before="120" w:after="120" w:line="276" w:lineRule="auto"/>
        <w:ind w:left="0" w:firstLine="720"/>
        <w:jc w:val="both"/>
        <w:rPr>
          <w:rFonts w:ascii="Arial" w:hAnsi="Arial" w:eastAsia="Arial" w:cs="Arial"/>
          <w:sz w:val="20"/>
          <w:szCs w:val="20"/>
        </w:rPr>
      </w:pPr>
      <w:r>
        <w:rPr>
          <w:rFonts w:ascii="Arial" w:hAnsi="Arial" w:eastAsia="Arial" w:cs="Arial"/>
          <w:sz w:val="20"/>
          <w:szCs w:val="20"/>
        </w:rPr>
        <w:t xml:space="preserve">Programa de Trabalho: </w:t>
      </w:r>
    </w:p>
    <w:p w14:paraId="538CC06C">
      <w:pPr>
        <w:numPr>
          <w:ilvl w:val="1"/>
          <w:numId w:val="7"/>
        </w:numPr>
        <w:spacing w:before="120" w:after="120" w:line="276" w:lineRule="auto"/>
        <w:ind w:left="0" w:firstLine="720"/>
        <w:jc w:val="both"/>
        <w:rPr>
          <w:rFonts w:ascii="Arial" w:hAnsi="Arial" w:eastAsia="Arial" w:cs="Arial"/>
          <w:sz w:val="20"/>
          <w:szCs w:val="20"/>
        </w:rPr>
      </w:pPr>
      <w:r>
        <w:rPr>
          <w:rFonts w:ascii="Arial" w:hAnsi="Arial" w:eastAsia="Arial" w:cs="Arial"/>
          <w:sz w:val="20"/>
          <w:szCs w:val="20"/>
        </w:rPr>
        <w:t xml:space="preserve">Elemento de Despesa: </w:t>
      </w:r>
    </w:p>
    <w:p w14:paraId="59BED642">
      <w:pPr>
        <w:numPr>
          <w:ilvl w:val="1"/>
          <w:numId w:val="7"/>
        </w:numPr>
        <w:spacing w:before="120" w:after="120" w:line="276" w:lineRule="auto"/>
        <w:ind w:left="0" w:firstLine="720"/>
        <w:jc w:val="both"/>
        <w:rPr>
          <w:rFonts w:ascii="Arial" w:hAnsi="Arial" w:eastAsia="Arial" w:cs="Arial"/>
          <w:sz w:val="20"/>
          <w:szCs w:val="20"/>
        </w:rPr>
      </w:pPr>
      <w:r>
        <w:rPr>
          <w:rFonts w:ascii="Arial" w:hAnsi="Arial" w:eastAsia="Arial" w:cs="Arial"/>
          <w:sz w:val="20"/>
          <w:szCs w:val="20"/>
        </w:rPr>
        <w:t xml:space="preserve">Plano Interno: </w:t>
      </w:r>
    </w:p>
    <w:p w14:paraId="092E98D1">
      <w:pPr>
        <w:numPr>
          <w:ilvl w:val="1"/>
          <w:numId w:val="7"/>
        </w:numPr>
        <w:spacing w:before="120" w:after="120" w:line="276" w:lineRule="auto"/>
        <w:ind w:left="0" w:firstLine="720"/>
        <w:jc w:val="both"/>
        <w:rPr>
          <w:rFonts w:ascii="Arial" w:hAnsi="Arial" w:eastAsia="Arial" w:cs="Arial"/>
          <w:sz w:val="20"/>
          <w:szCs w:val="20"/>
        </w:rPr>
      </w:pPr>
      <w:r>
        <w:rPr>
          <w:rFonts w:ascii="Arial" w:hAnsi="Arial" w:eastAsia="Arial" w:cs="Arial"/>
          <w:sz w:val="20"/>
          <w:szCs w:val="20"/>
        </w:rPr>
        <w:t>Nota de Empenho:</w:t>
      </w:r>
    </w:p>
    <w:p w14:paraId="5BA9408C">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jc w:val="both"/>
        <w:rPr>
          <w:rFonts w:ascii="Arial" w:hAnsi="Arial" w:eastAsia="Arial" w:cs="Arial"/>
          <w:color w:val="FFFFFF"/>
          <w:sz w:val="20"/>
          <w:szCs w:val="20"/>
        </w:rPr>
      </w:pPr>
      <w:r>
        <w:rPr>
          <w:rFonts w:ascii="Arial" w:hAnsi="Arial" w:eastAsia="Arial" w:cs="Arial"/>
          <w:b/>
          <w:color w:val="000000"/>
          <w:sz w:val="20"/>
          <w:szCs w:val="20"/>
        </w:rPr>
        <w:tab/>
      </w:r>
      <w:r>
        <w:rPr>
          <w:rFonts w:ascii="Arial" w:hAnsi="Arial" w:eastAsia="Arial" w:cs="Arial"/>
          <w:b/>
          <w:color w:val="000000"/>
          <w:sz w:val="20"/>
          <w:szCs w:val="20"/>
        </w:rPr>
        <w:t>CLÁUSULA DÉCIMA QUINTA – DOS CASOS OMISSOS (</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80"/>
          <w:sz w:val="20"/>
          <w:szCs w:val="20"/>
          <w:u w:val="single"/>
        </w:rPr>
        <w:t>art. 92, III</w:t>
      </w:r>
      <w:r>
        <w:rPr>
          <w:rFonts w:ascii="Arial" w:hAnsi="Arial" w:eastAsia="Arial" w:cs="Arial"/>
          <w:b/>
          <w:color w:val="000080"/>
          <w:sz w:val="20"/>
          <w:szCs w:val="20"/>
          <w:u w:val="single"/>
        </w:rPr>
        <w:fldChar w:fldCharType="end"/>
      </w:r>
      <w:r>
        <w:rPr>
          <w:rFonts w:ascii="Arial" w:hAnsi="Arial" w:eastAsia="Arial" w:cs="Arial"/>
          <w:b/>
          <w:color w:val="000000"/>
          <w:sz w:val="20"/>
          <w:szCs w:val="20"/>
        </w:rPr>
        <w:t>)</w:t>
      </w:r>
    </w:p>
    <w:p w14:paraId="322C682A">
      <w:pPr>
        <w:pStyle w:val="21"/>
        <w:numPr>
          <w:ilvl w:val="0"/>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rial" w:hAnsi="Arial" w:eastAsia="Arial" w:cs="Arial"/>
          <w:vanish/>
          <w:color w:val="000000"/>
          <w:sz w:val="20"/>
          <w:szCs w:val="20"/>
        </w:rPr>
      </w:pPr>
    </w:p>
    <w:p w14:paraId="071E24A9">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commentRangeStart w:id="23"/>
      <w:r>
        <w:rPr>
          <w:rFonts w:ascii="Arial" w:hAnsi="Arial" w:eastAsia="Arial" w:cs="Arial"/>
          <w:color w:val="000000"/>
          <w:sz w:val="20"/>
          <w:szCs w:val="20"/>
        </w:rPr>
        <w:t xml:space="preserve">Os casos omissos serão decididos pelo contratante, segundo as disposições contidas na </w:t>
      </w:r>
      <w:r>
        <w:fldChar w:fldCharType="begin"/>
      </w:r>
      <w:r>
        <w:instrText xml:space="preserve"> HYPERLINK "http://www.planalto.gov.br/ccivil_03/_ato2019-2022/2021/lei/L14133.htm" \h </w:instrText>
      </w:r>
      <w:r>
        <w:fldChar w:fldCharType="separate"/>
      </w:r>
      <w:r>
        <w:rPr>
          <w:rFonts w:ascii="Arial" w:hAnsi="Arial" w:eastAsia="Arial" w:cs="Arial"/>
          <w:color w:val="000080"/>
          <w:sz w:val="20"/>
          <w:szCs w:val="20"/>
          <w:u w:val="single"/>
        </w:rPr>
        <w:t>Lei nº 14.133, de 2021</w:t>
      </w:r>
      <w:r>
        <w:rPr>
          <w:rFonts w:ascii="Arial" w:hAnsi="Arial" w:eastAsia="Arial" w:cs="Arial"/>
          <w:color w:val="000080"/>
          <w:sz w:val="20"/>
          <w:szCs w:val="20"/>
          <w:u w:val="single"/>
        </w:rPr>
        <w:fldChar w:fldCharType="end"/>
      </w:r>
      <w:r>
        <w:rPr>
          <w:rFonts w:ascii="Arial" w:hAnsi="Arial" w:eastAsia="Arial" w:cs="Arial"/>
          <w:color w:val="000000"/>
          <w:sz w:val="20"/>
          <w:szCs w:val="20"/>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Fonts w:ascii="Arial" w:hAnsi="Arial" w:eastAsia="Arial" w:cs="Arial"/>
          <w:color w:val="000080"/>
          <w:sz w:val="20"/>
          <w:szCs w:val="20"/>
          <w:u w:val="single"/>
        </w:rPr>
        <w:t>Lei nº 8.078, de 1990 – Código de Defesa do Consumidor</w:t>
      </w:r>
      <w:r>
        <w:rPr>
          <w:rFonts w:ascii="Arial" w:hAnsi="Arial" w:eastAsia="Arial" w:cs="Arial"/>
          <w:color w:val="000080"/>
          <w:sz w:val="20"/>
          <w:szCs w:val="20"/>
          <w:u w:val="single"/>
        </w:rPr>
        <w:fldChar w:fldCharType="end"/>
      </w:r>
      <w:r>
        <w:rPr>
          <w:rFonts w:ascii="Arial" w:hAnsi="Arial" w:eastAsia="Arial" w:cs="Arial"/>
          <w:color w:val="000000"/>
          <w:sz w:val="20"/>
          <w:szCs w:val="20"/>
        </w:rPr>
        <w:t xml:space="preserve"> – e normas e princípios gerais dos contratos.</w:t>
      </w:r>
      <w:commentRangeEnd w:id="23"/>
      <w:r>
        <w:commentReference w:id="23"/>
      </w:r>
    </w:p>
    <w:p w14:paraId="2A712D28">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jc w:val="both"/>
        <w:rPr>
          <w:rFonts w:ascii="Arial" w:hAnsi="Arial" w:eastAsia="Arial" w:cs="Arial"/>
          <w:color w:val="FFFFFF"/>
          <w:sz w:val="20"/>
          <w:szCs w:val="20"/>
        </w:rPr>
      </w:pPr>
      <w:r>
        <w:rPr>
          <w:rFonts w:ascii="Arial" w:hAnsi="Arial" w:eastAsia="Arial" w:cs="Arial"/>
          <w:b/>
          <w:color w:val="000000"/>
          <w:sz w:val="20"/>
          <w:szCs w:val="20"/>
        </w:rPr>
        <w:tab/>
      </w:r>
      <w:r>
        <w:rPr>
          <w:rFonts w:ascii="Arial" w:hAnsi="Arial" w:eastAsia="Arial" w:cs="Arial"/>
          <w:b/>
          <w:color w:val="000000"/>
          <w:sz w:val="20"/>
          <w:szCs w:val="20"/>
        </w:rPr>
        <w:t>CLÁUSULA DÉCIMA SEXTA – ALTERAÇÕES</w:t>
      </w:r>
    </w:p>
    <w:p w14:paraId="258104CA">
      <w:pPr>
        <w:pStyle w:val="21"/>
        <w:numPr>
          <w:ilvl w:val="0"/>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rial" w:hAnsi="Arial" w:eastAsia="Arial" w:cs="Arial"/>
          <w:vanish/>
          <w:color w:val="000000"/>
          <w:sz w:val="20"/>
          <w:szCs w:val="20"/>
        </w:rPr>
      </w:pPr>
    </w:p>
    <w:p w14:paraId="52DE0F21">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 xml:space="preserve">Eventuais alterações contratuais reger-se-ão pela disciplina dos </w:t>
      </w:r>
      <w:r>
        <w:fldChar w:fldCharType="begin"/>
      </w:r>
      <w:r>
        <w:instrText xml:space="preserve"> HYPERLINK "http://www.planalto.gov.br/ccivil_03/_ato2019-2022/2021/lei/L14133.htm" \l "art124" \h </w:instrText>
      </w:r>
      <w:r>
        <w:fldChar w:fldCharType="separate"/>
      </w:r>
      <w:r>
        <w:rPr>
          <w:rFonts w:ascii="Arial" w:hAnsi="Arial" w:eastAsia="Arial" w:cs="Arial"/>
          <w:color w:val="000080"/>
          <w:sz w:val="20"/>
          <w:szCs w:val="20"/>
          <w:u w:val="single"/>
        </w:rPr>
        <w:t>arts. 124 e seguintes da Lei nº 14.133, de 2021</w:t>
      </w:r>
      <w:r>
        <w:rPr>
          <w:rFonts w:ascii="Arial" w:hAnsi="Arial" w:eastAsia="Arial" w:cs="Arial"/>
          <w:color w:val="000080"/>
          <w:sz w:val="20"/>
          <w:szCs w:val="20"/>
          <w:u w:val="single"/>
        </w:rPr>
        <w:fldChar w:fldCharType="end"/>
      </w:r>
      <w:r>
        <w:rPr>
          <w:rFonts w:ascii="Arial" w:hAnsi="Arial" w:eastAsia="Arial" w:cs="Arial"/>
          <w:color w:val="000000"/>
          <w:sz w:val="20"/>
          <w:szCs w:val="20"/>
        </w:rPr>
        <w:t>.</w:t>
      </w:r>
    </w:p>
    <w:p w14:paraId="2BF73649">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O contratado é obrigado a aceitar, nas mesmas condições contratuais, os acréscimos ou supressões que se fizerem necessários, até o limite de 25% (vinte e cinco por cento) do valor inicial atualizado do contrato.</w:t>
      </w:r>
    </w:p>
    <w:p w14:paraId="45EA6B6E">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D283DCA">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rFonts w:ascii="Arial" w:hAnsi="Arial" w:eastAsia="Arial" w:cs="Arial"/>
          <w:color w:val="000080"/>
          <w:sz w:val="20"/>
          <w:szCs w:val="20"/>
          <w:u w:val="single"/>
        </w:rPr>
        <w:t>art. 136 da Lei nº 14.133, de 2021</w:t>
      </w:r>
      <w:r>
        <w:rPr>
          <w:rFonts w:ascii="Arial" w:hAnsi="Arial" w:eastAsia="Arial" w:cs="Arial"/>
          <w:color w:val="000080"/>
          <w:sz w:val="20"/>
          <w:szCs w:val="20"/>
          <w:u w:val="single"/>
        </w:rPr>
        <w:fldChar w:fldCharType="end"/>
      </w:r>
      <w:r>
        <w:rPr>
          <w:rFonts w:ascii="Arial" w:hAnsi="Arial" w:eastAsia="Arial" w:cs="Arial"/>
          <w:color w:val="000000"/>
          <w:sz w:val="20"/>
          <w:szCs w:val="20"/>
        </w:rPr>
        <w:t>.</w:t>
      </w:r>
    </w:p>
    <w:p w14:paraId="1BD75EA1">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jc w:val="both"/>
        <w:rPr>
          <w:rFonts w:ascii="Arial" w:hAnsi="Arial" w:eastAsia="Arial" w:cs="Arial"/>
          <w:color w:val="FFFFFF"/>
          <w:sz w:val="20"/>
          <w:szCs w:val="20"/>
        </w:rPr>
      </w:pPr>
      <w:r>
        <w:rPr>
          <w:rFonts w:ascii="Arial" w:hAnsi="Arial" w:eastAsia="Arial" w:cs="Arial"/>
          <w:b/>
          <w:color w:val="000000"/>
          <w:sz w:val="20"/>
          <w:szCs w:val="20"/>
        </w:rPr>
        <w:t>CLÁUSULA DÉCIMA SÉTIMA – PUBLICAÇÃO</w:t>
      </w:r>
    </w:p>
    <w:p w14:paraId="2CF9CC75">
      <w:pPr>
        <w:pStyle w:val="21"/>
        <w:numPr>
          <w:ilvl w:val="0"/>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rial" w:hAnsi="Arial" w:eastAsia="Arial" w:cs="Arial"/>
          <w:vanish/>
          <w:color w:val="000000"/>
          <w:sz w:val="20"/>
          <w:szCs w:val="20"/>
        </w:rPr>
      </w:pPr>
    </w:p>
    <w:p w14:paraId="3055FDB6">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\h </w:instrText>
      </w:r>
      <w:r>
        <w:fldChar w:fldCharType="separate"/>
      </w:r>
      <w:r>
        <w:rPr>
          <w:rFonts w:ascii="Arial" w:hAnsi="Arial" w:eastAsia="Arial" w:cs="Arial"/>
          <w:color w:val="000080"/>
          <w:sz w:val="20"/>
          <w:szCs w:val="20"/>
          <w:u w:val="single"/>
        </w:rPr>
        <w:t>art. 94 da Lei 14.133, de 2021</w:t>
      </w:r>
      <w:r>
        <w:rPr>
          <w:rFonts w:ascii="Arial" w:hAnsi="Arial" w:eastAsia="Arial" w:cs="Arial"/>
          <w:color w:val="000080"/>
          <w:sz w:val="20"/>
          <w:szCs w:val="20"/>
          <w:u w:val="single"/>
        </w:rPr>
        <w:fldChar w:fldCharType="end"/>
      </w:r>
      <w:r>
        <w:rPr>
          <w:rFonts w:ascii="Arial" w:hAnsi="Arial" w:eastAsia="Arial" w:cs="Arial"/>
          <w:color w:val="000000"/>
          <w:sz w:val="20"/>
          <w:szCs w:val="20"/>
        </w:rPr>
        <w:t xml:space="preserve">, bem como no respectivo sítio oficial na Internet, em atenção ao art. 91, </w:t>
      </w:r>
      <w:r>
        <w:rPr>
          <w:rFonts w:ascii="Arial" w:hAnsi="Arial" w:eastAsia="Arial" w:cs="Arial"/>
          <w:i/>
          <w:color w:val="000000"/>
          <w:sz w:val="20"/>
          <w:szCs w:val="20"/>
        </w:rPr>
        <w:t>caput,</w:t>
      </w:r>
      <w:r>
        <w:rPr>
          <w:rFonts w:ascii="Arial" w:hAnsi="Arial" w:eastAsia="Arial" w:cs="Arial"/>
          <w:color w:val="000000"/>
          <w:sz w:val="20"/>
          <w:szCs w:val="20"/>
        </w:rPr>
        <w:t xml:space="preserve"> da Lei n.º 14.133, de 2021, e ao </w:t>
      </w:r>
      <w:r>
        <w:fldChar w:fldCharType="begin"/>
      </w:r>
      <w:r>
        <w:instrText xml:space="preserve"> HYPERLINK "https://www.planalto.gov.br/ccivil_03/_ato2011-2014/2011/lei/l12527.htm" \l "art8%C2%A72" \h </w:instrText>
      </w:r>
      <w:r>
        <w:fldChar w:fldCharType="separate"/>
      </w:r>
      <w:r>
        <w:rPr>
          <w:rFonts w:ascii="Arial" w:hAnsi="Arial" w:eastAsia="Arial" w:cs="Arial"/>
          <w:color w:val="000080"/>
          <w:sz w:val="20"/>
          <w:szCs w:val="20"/>
          <w:u w:val="single"/>
        </w:rPr>
        <w:t>art. 8º, §2º, da Lei n. 12.527, de 2011</w:t>
      </w:r>
      <w:r>
        <w:rPr>
          <w:rFonts w:ascii="Arial" w:hAnsi="Arial" w:eastAsia="Arial" w:cs="Arial"/>
          <w:color w:val="000080"/>
          <w:sz w:val="20"/>
          <w:szCs w:val="20"/>
          <w:u w:val="single"/>
        </w:rPr>
        <w:fldChar w:fldCharType="end"/>
      </w:r>
      <w:r>
        <w:rPr>
          <w:rFonts w:ascii="Arial" w:hAnsi="Arial" w:eastAsia="Arial" w:cs="Arial"/>
          <w:color w:val="000000"/>
          <w:sz w:val="20"/>
          <w:szCs w:val="20"/>
        </w:rPr>
        <w:t xml:space="preserve">, c/c </w:t>
      </w:r>
      <w:r>
        <w:fldChar w:fldCharType="begin"/>
      </w:r>
      <w:r>
        <w:instrText xml:space="preserve"> HYPERLINK "https://www.planalto.gov.br/ccivil_03/_ato2011-2014/2012/decreto/d7724.htm" \l "art7%C2%A73" \h </w:instrText>
      </w:r>
      <w:r>
        <w:fldChar w:fldCharType="separate"/>
      </w:r>
      <w:r>
        <w:rPr>
          <w:rFonts w:ascii="Arial" w:hAnsi="Arial" w:eastAsia="Arial" w:cs="Arial"/>
          <w:color w:val="000080"/>
          <w:sz w:val="20"/>
          <w:szCs w:val="20"/>
          <w:u w:val="single"/>
        </w:rPr>
        <w:t>art. 7º, §3º, inciso V, do Decreto n. 7.724, de 2012.</w:t>
      </w:r>
      <w:r>
        <w:rPr>
          <w:rFonts w:ascii="Arial" w:hAnsi="Arial" w:eastAsia="Arial" w:cs="Arial"/>
          <w:color w:val="000080"/>
          <w:sz w:val="20"/>
          <w:szCs w:val="20"/>
          <w:u w:val="single"/>
        </w:rPr>
        <w:fldChar w:fldCharType="end"/>
      </w:r>
      <w:r>
        <w:rPr>
          <w:rFonts w:ascii="Arial" w:hAnsi="Arial" w:eastAsia="Arial" w:cs="Arial"/>
          <w:color w:val="000000"/>
          <w:sz w:val="20"/>
          <w:szCs w:val="20"/>
        </w:rPr>
        <w:t xml:space="preserve"> </w:t>
      </w:r>
    </w:p>
    <w:p w14:paraId="6DF303EF">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pPr>
      <w:r>
        <w:rPr>
          <w:rFonts w:ascii="Arial" w:hAnsi="Arial" w:eastAsia="Arial" w:cs="Arial"/>
          <w:color w:val="000000"/>
          <w:sz w:val="20"/>
          <w:szCs w:val="20"/>
        </w:rPr>
        <w:t>Em se tratando de contratação por inexigibilidade, o contrato e seus aditamentos deverão ser divulgados em 10 dias úteis, contados da data de sua assinatura, conforme o inciso II do art. 94 da Lei nº 14.133, de 2021.</w:t>
      </w:r>
    </w:p>
    <w:p w14:paraId="1EEAD958">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jc w:val="both"/>
        <w:rPr>
          <w:rFonts w:ascii="Arial" w:hAnsi="Arial" w:eastAsia="Arial" w:cs="Arial"/>
          <w:color w:val="FFFFFF"/>
          <w:sz w:val="20"/>
          <w:szCs w:val="20"/>
        </w:rPr>
      </w:pPr>
      <w:r>
        <w:rPr>
          <w:rFonts w:ascii="Arial" w:hAnsi="Arial" w:eastAsia="Arial" w:cs="Arial"/>
          <w:b/>
          <w:color w:val="000000"/>
          <w:sz w:val="20"/>
          <w:szCs w:val="20"/>
        </w:rPr>
        <w:t>CLÁUSULA DÉCIMA OITAVA– FORO (</w:t>
      </w:r>
      <w:r>
        <w:fldChar w:fldCharType="begin"/>
      </w:r>
      <w:r>
        <w:instrText xml:space="preserve"> HYPERLINK "http://www.planalto.gov.br/ccivil_03/_ato2019-2022/2021/lei/L14133.htm" \l "art92%C2%A71" \h </w:instrText>
      </w:r>
      <w:r>
        <w:fldChar w:fldCharType="separate"/>
      </w:r>
      <w:r>
        <w:rPr>
          <w:rFonts w:ascii="Arial" w:hAnsi="Arial" w:eastAsia="Arial" w:cs="Arial"/>
          <w:b/>
          <w:color w:val="000080"/>
          <w:sz w:val="20"/>
          <w:szCs w:val="20"/>
          <w:u w:val="single"/>
        </w:rPr>
        <w:t>art. 92, §1º</w:t>
      </w:r>
      <w:r>
        <w:rPr>
          <w:rFonts w:ascii="Arial" w:hAnsi="Arial" w:eastAsia="Arial" w:cs="Arial"/>
          <w:b/>
          <w:color w:val="000080"/>
          <w:sz w:val="20"/>
          <w:szCs w:val="20"/>
          <w:u w:val="single"/>
        </w:rPr>
        <w:fldChar w:fldCharType="end"/>
      </w:r>
      <w:r>
        <w:rPr>
          <w:rFonts w:ascii="Arial" w:hAnsi="Arial" w:eastAsia="Arial" w:cs="Arial"/>
          <w:b/>
          <w:color w:val="000000"/>
          <w:sz w:val="20"/>
          <w:szCs w:val="20"/>
        </w:rPr>
        <w:t>)</w:t>
      </w:r>
    </w:p>
    <w:p w14:paraId="362DEF52">
      <w:pPr>
        <w:pStyle w:val="21"/>
        <w:numPr>
          <w:ilvl w:val="0"/>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rial" w:hAnsi="Arial" w:eastAsia="Arial" w:cs="Arial"/>
          <w:vanish/>
          <w:color w:val="000000"/>
          <w:sz w:val="20"/>
          <w:szCs w:val="20"/>
        </w:rPr>
      </w:pPr>
    </w:p>
    <w:p w14:paraId="5AB70377">
      <w:pPr>
        <w:numPr>
          <w:ilvl w:val="1"/>
          <w:numId w:val="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rial" w:hAnsi="Arial" w:eastAsia="Arial" w:cs="Arial"/>
          <w:i/>
          <w:color w:val="FF0000"/>
          <w:sz w:val="20"/>
          <w:szCs w:val="20"/>
        </w:rPr>
      </w:pPr>
      <w:r>
        <w:rPr>
          <w:rFonts w:hint="default" w:ascii="Arial" w:hAnsi="Arial" w:eastAsia="Arial" w:cs="Arial"/>
          <w:color w:val="000000"/>
          <w:sz w:val="20"/>
          <w:szCs w:val="20"/>
          <w:lang w:val="pt-BR"/>
        </w:rPr>
        <w:t xml:space="preserve">Fica </w:t>
      </w:r>
      <w:r>
        <w:rPr>
          <w:rFonts w:ascii="Arial" w:hAnsi="Arial" w:eastAsia="Arial" w:cs="Arial"/>
          <w:color w:val="000000"/>
          <w:sz w:val="20"/>
          <w:szCs w:val="20"/>
        </w:rPr>
        <w:t xml:space="preserve">eleito o Foro da </w:t>
      </w:r>
      <w:r>
        <w:rPr>
          <w:rFonts w:hint="default" w:ascii="Arial" w:hAnsi="Arial" w:eastAsia="Arial" w:cs="Arial"/>
          <w:color w:val="000000"/>
          <w:sz w:val="20"/>
          <w:szCs w:val="20"/>
          <w:lang w:val="pt-BR"/>
        </w:rPr>
        <w:t xml:space="preserve">Comarca de Feira de Santana/BA </w:t>
      </w:r>
      <w:r>
        <w:rPr>
          <w:rFonts w:ascii="Arial" w:hAnsi="Arial" w:eastAsia="Arial" w:cs="Arial"/>
          <w:color w:val="000000"/>
          <w:sz w:val="20"/>
          <w:szCs w:val="20"/>
        </w:rPr>
        <w:t xml:space="preserve">para dirimir os litígios que decorrerem da execução deste Termo de Contrato que não puderem ser compostos pela conciliação, conforme </w:t>
      </w:r>
      <w:r>
        <w:rPr>
          <w:rFonts w:ascii="Arial" w:hAnsi="Arial" w:eastAsia="Arial" w:cs="Arial"/>
          <w:color w:val="000000"/>
          <w:sz w:val="20"/>
          <w:szCs w:val="20"/>
        </w:rPr>
        <w:fldChar w:fldCharType="begin"/>
      </w:r>
      <w:r>
        <w:rPr>
          <w:rFonts w:ascii="Arial" w:hAnsi="Arial" w:eastAsia="Arial" w:cs="Arial"/>
          <w:color w:val="000000"/>
          <w:sz w:val="20"/>
          <w:szCs w:val="20"/>
        </w:rPr>
        <w:instrText xml:space="preserve"> HYPERLINK "http://www.planalto.gov.br/ccivil_03/_ato2019-2022/2021/lei/L14133.htm" \l "art92§1" \h </w:instrText>
      </w:r>
      <w:r>
        <w:rPr>
          <w:rFonts w:ascii="Arial" w:hAnsi="Arial" w:eastAsia="Arial" w:cs="Arial"/>
          <w:color w:val="000000"/>
          <w:sz w:val="20"/>
          <w:szCs w:val="20"/>
        </w:rPr>
        <w:fldChar w:fldCharType="separate"/>
      </w:r>
      <w:r>
        <w:rPr>
          <w:rFonts w:ascii="Arial" w:hAnsi="Arial" w:eastAsia="Arial" w:cs="Arial"/>
          <w:color w:val="000000"/>
          <w:sz w:val="20"/>
          <w:szCs w:val="20"/>
        </w:rPr>
        <w:t>art. 92, §1º, da Lei nº 14.133/21.</w:t>
      </w:r>
      <w:r>
        <w:rPr>
          <w:rFonts w:ascii="Arial" w:hAnsi="Arial" w:eastAsia="Arial" w:cs="Arial"/>
          <w:color w:val="000000"/>
          <w:sz w:val="20"/>
          <w:szCs w:val="20"/>
        </w:rPr>
        <w:fldChar w:fldCharType="end"/>
      </w:r>
      <w:bookmarkStart w:id="5" w:name="_GoBack"/>
      <w:bookmarkEnd w:id="5"/>
    </w:p>
    <w:p w14:paraId="6FA73DE2">
      <w:pPr>
        <w:pBdr>
          <w:top w:val="none" w:color="auto" w:sz="0" w:space="0"/>
          <w:left w:val="none" w:color="auto" w:sz="0" w:space="0"/>
          <w:bottom w:val="none" w:color="auto" w:sz="0" w:space="0"/>
          <w:right w:val="none" w:color="auto" w:sz="0" w:space="0"/>
          <w:between w:val="none" w:color="auto" w:sz="0" w:space="0"/>
        </w:pBdr>
        <w:spacing w:before="120" w:after="288" w:line="312" w:lineRule="auto"/>
        <w:ind w:firstLine="709"/>
        <w:jc w:val="both"/>
        <w:rPr>
          <w:rFonts w:ascii="Arial" w:hAnsi="Arial" w:eastAsia="Arial" w:cs="Arial"/>
          <w:i/>
          <w:color w:val="000000"/>
          <w:sz w:val="20"/>
          <w:szCs w:val="20"/>
        </w:rPr>
      </w:pPr>
      <w:r>
        <w:rPr>
          <w:rFonts w:hint="default" w:ascii="Arial" w:hAnsi="Arial" w:eastAsia="Arial" w:cs="Arial"/>
          <w:color w:val="000000"/>
          <w:sz w:val="20"/>
          <w:szCs w:val="20"/>
          <w:lang w:val="pt-BR"/>
        </w:rPr>
        <w:t>Feira de Santana/BA</w:t>
      </w:r>
      <w:r>
        <w:rPr>
          <w:rFonts w:ascii="Arial" w:hAnsi="Arial" w:eastAsia="Arial" w:cs="Arial"/>
          <w:i/>
          <w:color w:val="000000"/>
          <w:sz w:val="20"/>
          <w:szCs w:val="20"/>
        </w:rPr>
        <w:t>,</w:t>
      </w:r>
      <w:r>
        <w:rPr>
          <w:rFonts w:ascii="Arial" w:hAnsi="Arial" w:eastAsia="Arial" w:cs="Arial"/>
          <w:i/>
          <w:color w:val="FF0000"/>
          <w:sz w:val="20"/>
          <w:szCs w:val="20"/>
        </w:rPr>
        <w:t xml:space="preserve"> [dia] </w:t>
      </w:r>
      <w:r>
        <w:rPr>
          <w:rFonts w:ascii="Arial" w:hAnsi="Arial" w:eastAsia="Arial" w:cs="Arial"/>
          <w:i/>
          <w:color w:val="000000"/>
          <w:sz w:val="20"/>
          <w:szCs w:val="20"/>
        </w:rPr>
        <w:t>de</w:t>
      </w:r>
      <w:r>
        <w:rPr>
          <w:rFonts w:ascii="Arial" w:hAnsi="Arial" w:eastAsia="Arial" w:cs="Arial"/>
          <w:i/>
          <w:color w:val="FF0000"/>
          <w:sz w:val="20"/>
          <w:szCs w:val="20"/>
        </w:rPr>
        <w:t xml:space="preserve"> [mês] </w:t>
      </w:r>
      <w:r>
        <w:rPr>
          <w:rFonts w:ascii="Arial" w:hAnsi="Arial" w:eastAsia="Arial" w:cs="Arial"/>
          <w:i/>
          <w:color w:val="000000"/>
          <w:sz w:val="20"/>
          <w:szCs w:val="20"/>
        </w:rPr>
        <w:t>de</w:t>
      </w:r>
      <w:r>
        <w:rPr>
          <w:rFonts w:ascii="Arial" w:hAnsi="Arial" w:eastAsia="Arial" w:cs="Arial"/>
          <w:i/>
          <w:color w:val="FF0000"/>
          <w:sz w:val="20"/>
          <w:szCs w:val="20"/>
        </w:rPr>
        <w:t xml:space="preserve"> [ano].</w:t>
      </w:r>
    </w:p>
    <w:p w14:paraId="7DFDF94A">
      <w:pPr>
        <w:spacing w:before="120" w:after="288" w:line="312" w:lineRule="auto"/>
        <w:ind w:firstLine="709"/>
        <w:jc w:val="center"/>
        <w:rPr>
          <w:rFonts w:ascii="Arial" w:hAnsi="Arial" w:eastAsia="Arial" w:cs="Arial"/>
          <w:sz w:val="20"/>
          <w:szCs w:val="20"/>
        </w:rPr>
      </w:pPr>
      <w:commentRangeStart w:id="24"/>
      <w:r>
        <w:rPr>
          <w:rFonts w:ascii="Arial" w:hAnsi="Arial" w:eastAsia="Arial" w:cs="Arial"/>
          <w:sz w:val="20"/>
          <w:szCs w:val="20"/>
        </w:rPr>
        <w:t>_________________________</w:t>
      </w:r>
    </w:p>
    <w:p w14:paraId="1F744462">
      <w:pPr>
        <w:spacing w:before="120" w:after="288" w:line="312" w:lineRule="auto"/>
        <w:ind w:firstLine="709"/>
        <w:jc w:val="center"/>
        <w:rPr>
          <w:rFonts w:ascii="Arial" w:hAnsi="Arial" w:eastAsia="Arial" w:cs="Arial"/>
          <w:b/>
          <w:bCs/>
          <w:sz w:val="20"/>
          <w:szCs w:val="20"/>
        </w:rPr>
      </w:pPr>
      <w:r>
        <w:rPr>
          <w:rFonts w:ascii="Arial" w:hAnsi="Arial" w:eastAsia="Arial" w:cs="Arial"/>
          <w:b/>
          <w:bCs/>
          <w:sz w:val="20"/>
          <w:szCs w:val="20"/>
        </w:rPr>
        <w:t>CÂMARA MUNICIPAL DE FEIRA DE SANTANA</w:t>
      </w:r>
    </w:p>
    <w:p w14:paraId="396F85A3">
      <w:pPr>
        <w:spacing w:before="120" w:after="288" w:line="312" w:lineRule="auto"/>
        <w:ind w:firstLine="709"/>
        <w:jc w:val="center"/>
        <w:rPr>
          <w:rFonts w:ascii="Arial" w:hAnsi="Arial" w:eastAsia="Arial" w:cs="Arial"/>
          <w:sz w:val="20"/>
          <w:szCs w:val="20"/>
        </w:rPr>
      </w:pPr>
      <w:r>
        <w:rPr>
          <w:rFonts w:ascii="Arial" w:hAnsi="Arial" w:eastAsia="Arial" w:cs="Arial"/>
          <w:sz w:val="20"/>
          <w:szCs w:val="20"/>
        </w:rPr>
        <w:t>_________________________</w:t>
      </w:r>
    </w:p>
    <w:p w14:paraId="06669A15">
      <w:pPr>
        <w:spacing w:before="120" w:after="288" w:line="312" w:lineRule="auto"/>
        <w:ind w:firstLine="709"/>
        <w:jc w:val="center"/>
        <w:rPr>
          <w:rFonts w:ascii="Arial" w:hAnsi="Arial" w:eastAsia="Arial" w:cs="Arial"/>
          <w:sz w:val="20"/>
          <w:szCs w:val="20"/>
        </w:rPr>
      </w:pPr>
      <w:r>
        <w:rPr>
          <w:rFonts w:ascii="Arial" w:hAnsi="Arial" w:eastAsia="Arial" w:cs="Arial"/>
          <w:sz w:val="20"/>
          <w:szCs w:val="20"/>
        </w:rPr>
        <w:t>Representante legal do CONTRATADO</w:t>
      </w:r>
    </w:p>
    <w:p w14:paraId="2931BF45">
      <w:pPr>
        <w:spacing w:before="120" w:after="288" w:line="312" w:lineRule="auto"/>
        <w:ind w:firstLine="709"/>
        <w:jc w:val="both"/>
        <w:rPr>
          <w:rFonts w:ascii="Arial" w:hAnsi="Arial" w:eastAsia="Arial" w:cs="Arial"/>
          <w:i/>
          <w:color w:val="FF0000"/>
          <w:sz w:val="20"/>
          <w:szCs w:val="20"/>
        </w:rPr>
      </w:pPr>
      <w:r>
        <w:rPr>
          <w:rFonts w:ascii="Arial" w:hAnsi="Arial" w:eastAsia="Arial" w:cs="Arial"/>
          <w:i/>
          <w:color w:val="FF0000"/>
          <w:sz w:val="20"/>
          <w:szCs w:val="20"/>
        </w:rPr>
        <w:t>TESTEMUNHAS:</w:t>
      </w:r>
    </w:p>
    <w:p w14:paraId="748370E9">
      <w:pPr>
        <w:spacing w:before="120" w:after="288" w:line="312" w:lineRule="auto"/>
        <w:ind w:firstLine="709"/>
        <w:rPr>
          <w:rFonts w:ascii="Arial" w:hAnsi="Arial" w:eastAsia="Arial" w:cs="Arial"/>
          <w:i/>
          <w:color w:val="FF0000"/>
          <w:sz w:val="20"/>
          <w:szCs w:val="20"/>
        </w:rPr>
      </w:pPr>
      <w:r>
        <w:rPr>
          <w:rFonts w:ascii="Arial" w:hAnsi="Arial" w:eastAsia="Arial" w:cs="Arial"/>
          <w:i/>
          <w:color w:val="FF0000"/>
          <w:sz w:val="20"/>
          <w:szCs w:val="20"/>
        </w:rPr>
        <w:t>1-</w:t>
      </w:r>
    </w:p>
    <w:p w14:paraId="718F9958">
      <w:pPr>
        <w:spacing w:before="120" w:after="288" w:line="312" w:lineRule="auto"/>
        <w:ind w:firstLine="709"/>
        <w:rPr>
          <w:rFonts w:ascii="Arial" w:hAnsi="Arial" w:eastAsia="Arial" w:cs="Arial"/>
          <w:i/>
          <w:color w:val="FF0000"/>
          <w:sz w:val="20"/>
          <w:szCs w:val="20"/>
        </w:rPr>
      </w:pPr>
      <w:r>
        <w:rPr>
          <w:rFonts w:ascii="Arial" w:hAnsi="Arial" w:eastAsia="Arial" w:cs="Arial"/>
          <w:i/>
          <w:color w:val="FF0000"/>
          <w:sz w:val="20"/>
          <w:szCs w:val="20"/>
        </w:rPr>
        <w:t xml:space="preserve">2- </w:t>
      </w:r>
      <w:commentRangeEnd w:id="24"/>
      <w:r>
        <w:commentReference w:id="24"/>
      </w:r>
    </w:p>
    <w:p w14:paraId="2CFACB2B">
      <w:pPr>
        <w:spacing w:before="120" w:after="288" w:line="312" w:lineRule="auto"/>
        <w:ind w:firstLine="709"/>
        <w:rPr>
          <w:rFonts w:ascii="Arial" w:hAnsi="Arial" w:eastAsia="Arial" w:cs="Arial"/>
          <w:b/>
          <w:i/>
          <w:sz w:val="20"/>
          <w:szCs w:val="20"/>
        </w:rPr>
      </w:pPr>
    </w:p>
    <w:sectPr>
      <w:headerReference r:id="rId5" w:type="default"/>
      <w:footerReference r:id="rId6" w:type="default"/>
      <w:pgSz w:w="11906" w:h="16838"/>
      <w:pgMar w:top="1418" w:right="1134" w:bottom="1418" w:left="1134" w:header="709" w:footer="709"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utor" w:date="2023-11-14T18:07:00Z" w:initials="">
    <w:p w14:paraId="0F4258CF">
      <w:pPr>
        <w:pStyle w:val="12"/>
      </w:pPr>
      <w:r>
        <w:rPr>
          <w:b/>
          <w:bCs/>
          <w:i/>
          <w:iCs/>
          <w:color w:val="000000"/>
        </w:rPr>
        <w:t>Nota explicativa:</w:t>
      </w:r>
      <w:r>
        <w:rPr>
          <w:i/>
          <w:iCs/>
          <w:color w:val="000000"/>
        </w:rPr>
        <w:t xml:space="preserve"> Esta tabela é meramente ilustrativa, devendo ser ajustada conforme o caso concreto.</w:t>
      </w:r>
    </w:p>
  </w:comment>
  <w:comment w:id="1" w:author="Autor" w:date="2023-11-14T18:07:00Z" w:initials="">
    <w:p w14:paraId="7F55B804">
      <w:pPr>
        <w:pStyle w:val="12"/>
      </w:pPr>
      <w:r>
        <w:rPr>
          <w:b/>
          <w:bCs/>
          <w:i/>
          <w:iCs/>
          <w:color w:val="000000"/>
        </w:rPr>
        <w:t>Nota Explicativa</w:t>
      </w:r>
      <w:r>
        <w:rPr>
          <w:i/>
          <w:iCs/>
          <w:color w:val="000000"/>
        </w:rPr>
        <w:t>: Utilizar a redação do subitem 2.1 e 2.2 para contratos de escopo, cuja vigência se fundamenta no art. 105 da Lei n.º 14.133, de 2021.</w:t>
      </w:r>
    </w:p>
  </w:comment>
  <w:comment w:id="2" w:author="Autor" w:date="2023-11-14T18:07:00Z" w:initials="">
    <w:p w14:paraId="7F6F132B">
      <w:pPr>
        <w:pStyle w:val="12"/>
      </w:pPr>
      <w:r>
        <w:rPr>
          <w:b/>
          <w:bCs/>
          <w:i/>
          <w:iCs/>
          <w:color w:val="000000"/>
        </w:rPr>
        <w:t xml:space="preserve">Nota Explicativa: </w:t>
      </w:r>
      <w:r>
        <w:rPr>
          <w:i/>
          <w:iCs/>
          <w:color w:val="000000"/>
        </w:rPr>
        <w:t>Dispõe a Lei nº 14.133/21, em seu art. 74, §4º que "nas contratações com fundamento no inciso III do caput deste artigo, é vedada a subcontratação de empresas ou a atuação de profissionais distintos daqueles que tenham justificado a inexigibilidade". Dessa forma, entendemos que não se admite a subcontratação do serviço que gerou a inexigibilidade de licitação (neste caso, dos serviços de treinamento e capacitação), sendo admissível, lado outro, a contratação de terceiros para executar obrigações acessórias, necessárias ao cumprimento da principal, mas que com ela não se confundem (ex: impressão de apostilas, aluguel de salas etc.).</w:t>
      </w:r>
    </w:p>
    <w:p w14:paraId="7E4CC32C">
      <w:pPr>
        <w:pStyle w:val="12"/>
      </w:pPr>
      <w:r>
        <w:rPr>
          <w:i/>
          <w:iCs/>
          <w:color w:val="000000"/>
        </w:rPr>
        <w:t>Confira-se, nesse sentido, o seguinte entendimento do Tribunal de Contas da União: 9.3. alertar o [...] para a obrigatoriedade de: [...] 9.3.2. evitar previsão da possibilidade de subcontratação de parte do objeto em contratos firmados com inexigibilidade de licitação com base no art. 25 da Lei 8.666/1993;” (TCU - Acórdão nº 1183/2010 – Plenário. Processo 015.162/2009-9. Relator Min. Aroldo Cedraz)</w:t>
      </w:r>
    </w:p>
  </w:comment>
  <w:comment w:id="3" w:author="Autor" w:date="2023-11-14T18:07:00Z" w:initials="">
    <w:p w14:paraId="7CBA3AA0">
      <w:pPr>
        <w:pStyle w:val="12"/>
      </w:pPr>
      <w:r>
        <w:rPr>
          <w:b/>
          <w:bCs/>
          <w:i/>
          <w:iCs/>
          <w:color w:val="000000"/>
        </w:rPr>
        <w:t xml:space="preserve">Nota Explicativa: </w:t>
      </w:r>
      <w:r>
        <w:rPr>
          <w:i/>
          <w:iCs/>
          <w:color w:val="000000"/>
        </w:rPr>
        <w:t>O cômputo do valor total do Termo de Contrato levará em conta o período inicial de vigência estabelecido.</w:t>
      </w:r>
    </w:p>
  </w:comment>
  <w:comment w:id="4" w:author="Autor" w:date="2023-11-14T18:07:00Z" w:initials="">
    <w:p w14:paraId="2E828212">
      <w:pPr>
        <w:pStyle w:val="12"/>
      </w:pPr>
      <w:r>
        <w:rPr>
          <w:b/>
          <w:bCs/>
          <w:i/>
          <w:iCs/>
          <w:color w:val="000000"/>
        </w:rPr>
        <w:t>Nota Explicativa: </w:t>
      </w:r>
      <w:r>
        <w:rPr>
          <w:i/>
          <w:iCs/>
          <w:color w:val="000000"/>
        </w:rPr>
        <w:t xml:space="preserve">A Lei n.º 14.133, de 2021 em seu artigo 25, §7º fixou a necessidade da estipulação no contrato, independente do prazo de sua duração, de índice de reajustamento de preço, com data-base vinculada à data do orçamento estimado. </w:t>
      </w:r>
    </w:p>
    <w:p w14:paraId="5FC4C5DA">
      <w:pPr>
        <w:pStyle w:val="12"/>
      </w:pPr>
      <w:r>
        <w:rPr>
          <w:i/>
          <w:iCs/>
          <w:color w:val="000000"/>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14:paraId="1AE729D1">
      <w:pPr>
        <w:pStyle w:val="12"/>
      </w:pPr>
      <w:r>
        <w:rPr>
          <w:i/>
          <w:iCs/>
          <w:color w:val="000000"/>
        </w:rPr>
        <w:t>A Lei n.º 14.133, de 2021 inova quanto à possibilidade do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w:t>
      </w:r>
    </w:p>
    <w:p w14:paraId="12A88CDE">
      <w:pPr>
        <w:pStyle w:val="12"/>
      </w:pPr>
      <w:r>
        <w:rPr>
          <w:i/>
          <w:iCs/>
          <w:color w:val="000000"/>
        </w:rPr>
        <w:t>Importa enfatizar que o marco inicial para a contagem da anualidade é a data do orçamento estimado, o que representa um aperfeiçoamento em relação à sistemática anterior. Isso torna indispensável que o orçamento contenha a data específica a que se refere.</w:t>
      </w:r>
    </w:p>
  </w:comment>
  <w:comment w:id="6" w:author="Autor" w:date="2023-11-14T18:07:00Z" w:initials="">
    <w:p w14:paraId="6730DD30">
      <w:pPr>
        <w:pStyle w:val="12"/>
      </w:pPr>
      <w:r>
        <w:rPr>
          <w:b/>
          <w:bCs/>
          <w:i/>
          <w:iCs/>
          <w:color w:val="000000"/>
        </w:rPr>
        <w:t xml:space="preserve">Nota explicativa: </w:t>
      </w:r>
      <w:r>
        <w:rPr>
          <w:i/>
          <w:iCs/>
          <w:color w:val="000000"/>
        </w:rPr>
        <w:t>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 sua concessão ex officio pela Administração deve ser a regra,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desde que cumulativamente: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motivação idônea nos autos do processo administrativo, promovendo as respectivas adequações na cláusula sétima da minuta de termo de contrato.</w:t>
      </w:r>
    </w:p>
  </w:comment>
  <w:comment w:id="5" w:author="Autor" w:date="2023-11-14T18:07:00Z" w:initials="">
    <w:p w14:paraId="25C4D6B1">
      <w:pPr>
        <w:pStyle w:val="12"/>
      </w:pPr>
      <w:r>
        <w:rPr>
          <w:b/>
          <w:bCs/>
          <w:i/>
          <w:iCs/>
          <w:color w:val="000000"/>
        </w:rPr>
        <w:t xml:space="preserve">Nota Explicativa 1: </w:t>
      </w:r>
      <w:r>
        <w:rPr>
          <w:i/>
          <w:iCs/>
          <w:color w:val="000000"/>
        </w:rPr>
        <w:t xml:space="preserve">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6AEEC6C4">
      <w:pPr>
        <w:pStyle w:val="12"/>
      </w:pPr>
      <w:r>
        <w:rPr>
          <w:b/>
          <w:bCs/>
          <w:i/>
          <w:iCs/>
          <w:color w:val="000000"/>
        </w:rPr>
        <w:t xml:space="preserve">Nota Explicativa 2: </w:t>
      </w:r>
      <w:r>
        <w:rPr>
          <w:i/>
          <w:iCs/>
          <w:color w:val="000000"/>
        </w:rPr>
        <w:t>A Administração poderá, ainda, utilizar índices diferenciados, inclusive mais de um, de forma justificada, de acordo com as peculiaridades envolvidas no objeto contratual (art. 25, § 7º, da Lei n.º 14.133, de 2021). Caso haja a utilização de mais de um índice, deverá a Administração ajustar a redação da cláusula de modo a especificar o insumo respectivo sobre o qual incidirá cada índice de correção.</w:t>
      </w:r>
    </w:p>
  </w:comment>
  <w:comment w:id="7" w:author="Autor" w:date="2023-11-14T18:07:00Z" w:initials="">
    <w:p w14:paraId="02D8B9F9">
      <w:pPr>
        <w:pStyle w:val="12"/>
      </w:pPr>
      <w:r>
        <w:rPr>
          <w:b/>
          <w:bCs/>
          <w:i/>
          <w:iCs/>
          <w:color w:val="000000"/>
        </w:rPr>
        <w:t>Nota Explicativa:</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p>
    <w:p w14:paraId="3A90288C">
      <w:pPr>
        <w:pStyle w:val="12"/>
      </w:pPr>
      <w:r>
        <w:rPr>
          <w:i/>
          <w:iCs/>
          <w:color w:val="000000"/>
        </w:rPr>
        <w:t>“As sugestões de texto levam em conta as características gerais da contratação dos serviços de capacitação e podem ser moldadas, tendo-se em conta eventuais exigências afetas às finalidades específicas do contratante”.</w:t>
      </w:r>
    </w:p>
  </w:comment>
  <w:comment w:id="8" w:author="Autor" w:date="2023-11-14T18:07:00Z" w:initials="">
    <w:p w14:paraId="4770562E">
      <w:pPr>
        <w:pStyle w:val="12"/>
      </w:pPr>
      <w:r>
        <w:rPr>
          <w:b/>
          <w:bCs/>
          <w:i/>
          <w:iCs/>
          <w:color w:val="000000"/>
        </w:rPr>
        <w:t xml:space="preserve">Nota Explicativa: </w:t>
      </w:r>
      <w:r>
        <w:rPr>
          <w:i/>
          <w:iCs/>
          <w:color w:val="000000"/>
        </w:rPr>
        <w:t>Nos termos do art. 123 da Lei nº 14.133/21, a Administração tem o dever de decidir questões contratuais que lhe são apresentadas. O prazo do subitem 8.10.1 pode ser especificado pela Administração, conforme a complexidade do objeto contratual e os trâmites internos das áreas envolvidas na execução contratual. Caso não haja especificação, o art. 123, parágrafo único, da Lei n.º 14.133, de 2021, e o art. 28, do Decreto n.º 11.246, de 2022, estabelecem que o prazo será de um mês.</w:t>
      </w:r>
    </w:p>
  </w:comment>
  <w:comment w:id="9" w:author="Autor" w:date="2023-11-14T18:07:00Z" w:initials="">
    <w:p w14:paraId="3BA6FBF3">
      <w:pPr>
        <w:pStyle w:val="12"/>
      </w:pPr>
      <w:r>
        <w:rPr>
          <w:b/>
          <w:bCs/>
          <w:i/>
          <w:iCs/>
          <w:color w:val="000000"/>
        </w:rPr>
        <w:t xml:space="preserve">Nota Explicativa: </w:t>
      </w:r>
      <w:r>
        <w:rPr>
          <w:i/>
          <w:iCs/>
          <w:color w:val="000000"/>
        </w:rPr>
        <w:t>O art. 92, inciso XI, da Lei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p>
  </w:comment>
  <w:comment w:id="10" w:author="Autor" w:date="2023-11-14T18:07:00Z" w:initials="">
    <w:p w14:paraId="5497B206">
      <w:pPr>
        <w:pStyle w:val="12"/>
      </w:pPr>
      <w:r>
        <w:rPr>
          <w:b/>
          <w:bCs/>
          <w:i/>
          <w:iCs/>
          <w:color w:val="000000"/>
        </w:rPr>
        <w:t>Nota Explicativa 1</w:t>
      </w:r>
      <w:r>
        <w:rPr>
          <w:i/>
          <w:iCs/>
          <w:color w:val="000000"/>
        </w:rPr>
        <w:t>: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r>
        <w:rPr>
          <w:i/>
          <w:iCs/>
          <w:color w:val="000000"/>
        </w:rPr>
        <w:br w:type="textWrapping"/>
      </w:r>
    </w:p>
    <w:p w14:paraId="5A9564B3">
      <w:pPr>
        <w:pStyle w:val="12"/>
      </w:pPr>
      <w:r>
        <w:rPr>
          <w:b/>
          <w:bCs/>
          <w:i/>
          <w:iCs/>
          <w:color w:val="000000"/>
        </w:rPr>
        <w:t>Nota Explicativa 2:</w:t>
      </w:r>
      <w:r>
        <w:rPr>
          <w:i/>
          <w:iCs/>
          <w:color w:val="000000"/>
        </w:rPr>
        <w:t xml:space="preserve"> No caso de órgãos ou entidades públicas vinculados ao Ministério da Economia, considerada a edição da Portaria ME n° 1.144, de 3 de fevereiro de 2021, que disciplina os procedimentos e as rotinas para prevenção do nepotismo e responsabilização das suas ocorrências no âmbito daquele Ministério, necessário incluir, nesse item, subitem com o seguinte teor: </w:t>
      </w:r>
    </w:p>
    <w:p w14:paraId="101C7FEF">
      <w:pPr>
        <w:pStyle w:val="12"/>
      </w:pPr>
      <w:r>
        <w:rPr>
          <w:i/>
          <w:iCs/>
          <w:color w:val="000000"/>
        </w:rPr>
        <w:t>“.x. Apresentar as declarações firmadas pelos terceirizados indicados aos postos de serviços contratados, em conformidade com o artigo 5°, inciso I, da Portaria ME n° 1.144, de 3 de fevereiro de 2021, atestando ausência de relação familiar ou de parentesco que importe a prática de nepotismo, nos termos do disposto no inciso II do artigo 2° daquele normativo.”</w:t>
      </w:r>
    </w:p>
  </w:comment>
  <w:comment w:id="11" w:author="Autor" w:date="2023-11-14T18:07:00Z" w:initials="">
    <w:p w14:paraId="3064A175">
      <w:pPr>
        <w:pStyle w:val="12"/>
      </w:pPr>
      <w:r>
        <w:rPr>
          <w:b/>
          <w:bCs/>
          <w:i/>
          <w:iCs/>
          <w:color w:val="000000"/>
        </w:rPr>
        <w:t xml:space="preserve">Nota Explicativa: </w:t>
      </w:r>
      <w:r>
        <w:rPr>
          <w:i/>
          <w:iCs/>
          <w:color w:val="000000"/>
        </w:rPr>
        <w:t>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12" w:author="Autor" w:date="2023-11-14T18:07:00Z" w:initials="">
    <w:p w14:paraId="7D1906FC">
      <w:pPr>
        <w:pStyle w:val="12"/>
      </w:pPr>
      <w:r>
        <w:rPr>
          <w:b/>
          <w:bCs/>
          <w:i/>
          <w:iCs/>
          <w:color w:val="000000"/>
        </w:rPr>
        <w:t>Nota explicativa:</w:t>
      </w:r>
      <w:r>
        <w:rPr>
          <w:i/>
          <w:iCs/>
          <w:color w:val="000000"/>
        </w:rPr>
        <w:t xml:space="preserve">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14:paraId="442DE04A">
      <w:pPr>
        <w:pStyle w:val="12"/>
      </w:pPr>
      <w:r>
        <w:rPr>
          <w:i/>
          <w:iCs/>
          <w:color w:val="000000"/>
        </w:rPr>
        <w:t xml:space="preserve">Via de regra, a prestação de serviços de modo geral é hipótese de incidência de tributação municipal (Imposto Sobre Serviços de Qualquer Natureza - ISSQN), conforme lista anexa à Lei Complementar nº 116/2003.  </w:t>
      </w:r>
    </w:p>
    <w:p w14:paraId="6A0F3849">
      <w:pPr>
        <w:pStyle w:val="12"/>
      </w:pPr>
      <w:r>
        <w:rPr>
          <w:i/>
          <w:iCs/>
          <w:color w:val="000000"/>
        </w:rPr>
        <w:t>Existem, contudo, situações em que a prestação de um serviço pode dar ensejo à incidência de tributação estadual pelo ICMS. Como exemplos, citem-se os serviços de transporte interestadual e intermunicipal e os serviços de comunicação (art. 155, II, da CF/88), bem como as exceções expressamente previstas na lista da referida LC 116/2003.</w:t>
      </w:r>
    </w:p>
  </w:comment>
  <w:comment w:id="13" w:author="Autor" w:date="2023-11-14T18:07:00Z" w:initials="">
    <w:p w14:paraId="419D4AF7">
      <w:pPr>
        <w:pStyle w:val="12"/>
      </w:pPr>
      <w:r>
        <w:rPr>
          <w:b/>
          <w:bCs/>
          <w:i/>
          <w:iCs/>
          <w:color w:val="000000"/>
        </w:rPr>
        <w:t>Nota Explicativa</w:t>
      </w:r>
      <w:r>
        <w:rPr>
          <w:i/>
          <w:iCs/>
          <w:color w:val="000000"/>
        </w:rPr>
        <w:t xml:space="preserve"> </w:t>
      </w:r>
      <w:r>
        <w:rPr>
          <w:b/>
          <w:bCs/>
          <w:i/>
          <w:iCs/>
          <w:color w:val="000000"/>
        </w:rPr>
        <w:t>1</w:t>
      </w:r>
      <w:r>
        <w:rPr>
          <w:i/>
          <w:iCs/>
          <w:color w:val="000000"/>
        </w:rPr>
        <w:t>: As cláusulas 10.1 a 10.12 são necessárias para cumprimento da Lei nº 13.709, de 14 de agosto de 2018 (LGPD), caso a contratação envolva, de qualquer forma, o tratamento de dados pessoais, devendo ser incluída e ajustada nessa hipótese.</w:t>
      </w:r>
    </w:p>
    <w:p w14:paraId="4A51CD6E">
      <w:pPr>
        <w:pStyle w:val="12"/>
      </w:pPr>
    </w:p>
    <w:p w14:paraId="3F42DDC9">
      <w:pPr>
        <w:pStyle w:val="12"/>
      </w:pPr>
      <w:r>
        <w:rPr>
          <w:b/>
          <w:bCs/>
          <w:i/>
          <w:iCs/>
          <w:color w:val="000000"/>
        </w:rPr>
        <w:t xml:space="preserve">Nota Explicativa 2: </w:t>
      </w:r>
      <w:r>
        <w:rPr>
          <w:i/>
          <w:iCs/>
          <w:color w:val="000000"/>
        </w:rPr>
        <w:t>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03434649">
      <w:pPr>
        <w:pStyle w:val="12"/>
      </w:pPr>
      <w:r>
        <w:rPr>
          <w:i/>
          <w:iCs/>
          <w:color w:val="000000"/>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7E8BF9B7">
      <w:pPr>
        <w:pStyle w:val="12"/>
      </w:pPr>
      <w:r>
        <w:rPr>
          <w:i/>
          <w:iCs/>
          <w:color w:val="000000"/>
        </w:rPr>
        <w:t>O tema deve ser avaliado pela Administração com base nos riscos da contratação em relação aos dados pessoais eventualmente envolvidos.</w:t>
      </w:r>
    </w:p>
  </w:comment>
  <w:comment w:id="14" w:author="Autor" w:date="2023-11-14T18:07:00Z" w:initials="">
    <w:p w14:paraId="5AF7EFC5">
      <w:pPr>
        <w:pStyle w:val="12"/>
      </w:pPr>
      <w:r>
        <w:rPr>
          <w:b/>
          <w:bCs/>
          <w:i/>
          <w:iCs/>
          <w:color w:val="000000"/>
        </w:rPr>
        <w:t xml:space="preserve">Nota Explicativa: </w:t>
      </w:r>
      <w:r>
        <w:rPr>
          <w:i/>
          <w:iCs/>
          <w:color w:val="000000"/>
        </w:rPr>
        <w:t>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w:t>
      </w:r>
    </w:p>
  </w:comment>
  <w:comment w:id="15" w:author="Autor" w:date="2023-11-14T18:07:00Z" w:initials="">
    <w:p w14:paraId="74B63001">
      <w:pPr>
        <w:pStyle w:val="12"/>
      </w:pPr>
      <w:r>
        <w:rPr>
          <w:b/>
          <w:bCs/>
          <w:i/>
          <w:iCs/>
          <w:color w:val="000000"/>
        </w:rPr>
        <w:t>Nota Explicativa:</w:t>
      </w:r>
      <w:r>
        <w:rPr>
          <w:i/>
          <w:iCs/>
          <w:color w:val="000000"/>
        </w:rPr>
        <w:t xml:space="preserve"> Se o Contratante entender oportuno, é possível especificar, nesta cláusula, rotinas ou diligências mais adequadas ao objeto contratual respectivo.</w:t>
      </w:r>
    </w:p>
  </w:comment>
  <w:comment w:id="16" w:author="Autor" w:date="2023-11-14T18:07:00Z" w:initials="">
    <w:p w14:paraId="7FD90B48">
      <w:pPr>
        <w:pStyle w:val="12"/>
      </w:pPr>
      <w:r>
        <w:rPr>
          <w:b/>
          <w:bCs/>
          <w:i/>
          <w:iCs/>
          <w:color w:val="000000"/>
        </w:rPr>
        <w:t xml:space="preserve">Nota Explicativa 1: </w:t>
      </w:r>
      <w:r>
        <w:rPr>
          <w:i/>
          <w:iCs/>
          <w:color w:val="000000"/>
        </w:rPr>
        <w:t xml:space="preserve">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56E3AC2D">
      <w:pPr>
        <w:pStyle w:val="12"/>
      </w:pPr>
      <w:r>
        <w:rPr>
          <w:b/>
          <w:bCs/>
          <w:i/>
          <w:iCs/>
          <w:color w:val="000000"/>
        </w:rPr>
        <w:t xml:space="preserve">Nota explicativa 2: </w:t>
      </w:r>
      <w:r>
        <w:rPr>
          <w:i/>
          <w:iCs/>
          <w:color w:val="000000"/>
        </w:rPr>
        <w:t>Todas as disposições da presente cláusula são meramente indicativas. Pode ser necessário que se suprimam algumas das obrigações ou se arrolem outras, conforme as peculiaridades do órgão e as especificações do serviço a ser executado.</w:t>
      </w:r>
    </w:p>
  </w:comment>
  <w:comment w:id="17" w:author="Autor" w:date="2023-11-14T18:07:00Z" w:initials="">
    <w:p w14:paraId="775130E2">
      <w:pPr>
        <w:pStyle w:val="12"/>
      </w:pPr>
      <w:r>
        <w:rPr>
          <w:b/>
          <w:bCs/>
          <w:i/>
          <w:iCs/>
          <w:color w:val="000000"/>
        </w:rPr>
        <w:t>Nota Explicativa:</w:t>
      </w:r>
      <w:r>
        <w:rPr>
          <w:i/>
          <w:iCs/>
          <w:color w:val="000000"/>
        </w:rPr>
        <w:t xml:space="preserve"> Considerando se tratar de situação de inexigibilidade de licitação, na qual a solução ofertada por um único profissional ou empresa é considerada pelo órgão público demandante como a mais adequada, por suas características e especificidades, à plena satisfação das necessidades administrativas, a exigência de garantia poderá ser considerada um entrave ou empecilho à própria contratação, caso aquele executante do serviço se recuse a celebrar o contrato com oferta de garantia. Dessa forma, em um contexto de inviabilidade de competição, em regra, não será exigível a garantia de execução contratual do prestador do serviço de capacitação de pessoal, preservando, com isso, o interesse administrativo na celebração do contrato e na realização do objeto singular a ser executado pela empresa ou profissional eleito pela Administração. Contudo, se a Administração, no caso concreto, vislumbrar maiores riscos em decorrência da celebração e posterior execução do contrato sem a prestação de garantia pela contratada e, por isso, considerar necessário formular a exigência, poderá se valer, para tanto, das disposições correspondentes sobre a garantia contratual constantes do modelo de minuta de Termo de Referência para a contratação de serviços não continuados, disponível no sítio eletrônico da AGU. </w:t>
      </w:r>
    </w:p>
  </w:comment>
  <w:comment w:id="18" w:author="Autor" w:date="2023-11-14T18:07:00Z" w:initials="">
    <w:p w14:paraId="00CD3595">
      <w:pPr>
        <w:pStyle w:val="12"/>
      </w:pPr>
      <w:r>
        <w:rPr>
          <w:b/>
          <w:bCs/>
          <w:i/>
          <w:iCs/>
          <w:color w:val="000000"/>
        </w:rPr>
        <w:t xml:space="preserve">Nota Explicativa: </w:t>
      </w:r>
      <w:r>
        <w:rPr>
          <w:i/>
          <w:iCs/>
          <w:color w:val="000000"/>
        </w:rPr>
        <w:t>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w:t>
      </w:r>
    </w:p>
  </w:comment>
  <w:comment w:id="21" w:author="Autor" w:date="2023-11-14T18:07:00Z" w:initials="">
    <w:p w14:paraId="5546FE11">
      <w:pPr>
        <w:pStyle w:val="12"/>
      </w:pPr>
      <w:r>
        <w:rPr>
          <w:b/>
          <w:bCs/>
          <w:i/>
          <w:iCs/>
          <w:color w:val="000000"/>
        </w:rPr>
        <w:t xml:space="preserve">Nota Explicativa: </w:t>
      </w:r>
      <w:r>
        <w:rPr>
          <w:i/>
          <w:iCs/>
          <w:color w:val="000000"/>
        </w:rPr>
        <w:t>A redação dos itens 3 a 7 é apenas exemplificativa. A ideia é que haja uma multa maior para infrações mais graves e menor para infrações menos graves. Segundo a própria Lei, as infrações sujeitas à declaração inidoneidade são mais graves que as sujeitas à pena de impedimento.</w:t>
      </w:r>
    </w:p>
  </w:comment>
  <w:comment w:id="19" w:author="Autor" w:date="2023-11-14T18:07:00Z" w:initials="">
    <w:p w14:paraId="1F8DC591">
      <w:pPr>
        <w:pStyle w:val="12"/>
      </w:pPr>
      <w:r>
        <w:rPr>
          <w:b/>
          <w:bCs/>
          <w:i/>
          <w:iCs/>
          <w:color w:val="000000"/>
        </w:rPr>
        <w:t xml:space="preserve">Nota Explicativa: </w:t>
      </w:r>
      <w:r>
        <w:rPr>
          <w:i/>
          <w:iCs/>
          <w:color w:val="000000"/>
        </w:rPr>
        <w:t>A Lei nº 14.133, de 2021 (art. 162, parágrafo único),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contratado, a partir do qual a execução da prestação deixa de ser útil e enseja a extinção do contrato. Lembre-se que esse modelo é apenas uma sugestão; é possível escalonar as multas conforme os dias de atraso, por exemplo.</w:t>
      </w:r>
    </w:p>
  </w:comment>
  <w:comment w:id="20" w:author="Autor" w:date="2023-11-14T18:07:00Z" w:initials="">
    <w:p w14:paraId="1CE11B07">
      <w:pPr>
        <w:pStyle w:val="12"/>
      </w:pPr>
      <w:r>
        <w:rPr>
          <w:b/>
          <w:bCs/>
          <w:i/>
          <w:iCs/>
          <w:color w:val="000000"/>
        </w:rPr>
        <w:t xml:space="preserve">Nota Explicativa: </w:t>
      </w:r>
      <w:r>
        <w:rPr>
          <w:i/>
          <w:iCs/>
          <w:color w:val="000000"/>
        </w:rPr>
        <w:t>A Lei nº 14.133, de 2021 (art. 162, parágrafo único),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contratado, a partir do qual a execução da prestação deixa de ser útil e enseja a rescisão do contrato. Lembre-se que esse modelo é apenas uma sugestão; é possível escalonar as multas conforme os dias de atraso, por exemplo.</w:t>
      </w:r>
    </w:p>
  </w:comment>
  <w:comment w:id="22" w:author="Autor" w:date="2023-11-14T18:07:00Z" w:initials="">
    <w:p w14:paraId="02D69CBC">
      <w:pPr>
        <w:pStyle w:val="12"/>
      </w:pPr>
      <w:r>
        <w:rPr>
          <w:b/>
          <w:bCs/>
          <w:i/>
          <w:iCs/>
          <w:color w:val="000000"/>
        </w:rPr>
        <w:t xml:space="preserve">Nota Explicativa: </w:t>
      </w:r>
      <w:r>
        <w:rPr>
          <w:i/>
          <w:iCs/>
          <w:color w:val="000000"/>
        </w:rPr>
        <w:t xml:space="preserve">Use a redação abaixo para os contratos por escopo, assim considerados os contratos nos quais se impõe ao contratado o dever de realizar a prestação de um serviço específico em um período predeterminado. </w:t>
      </w:r>
    </w:p>
  </w:comment>
  <w:comment w:id="23" w:author="Autor" w:date="2023-11-14T18:07:00Z" w:initials="">
    <w:p w14:paraId="75FEA5E3">
      <w:pPr>
        <w:pStyle w:val="12"/>
      </w:pPr>
      <w:r>
        <w:rPr>
          <w:b/>
          <w:bCs/>
          <w:i/>
          <w:iCs/>
          <w:color w:val="000000"/>
        </w:rPr>
        <w:t xml:space="preserve">Nota explicativa: </w:t>
      </w:r>
      <w:r>
        <w:rPr>
          <w:i/>
          <w:iCs/>
          <w:color w:val="000000"/>
        </w:rPr>
        <w:t xml:space="preserve">No Acórdão n.º 2569/2018 – Plenário, o TCU concluiu que “A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 [...]”. (cf. Boletim de Jurisprudência n.º 244, sessões 6 e 7 de novembro de 2018). Consta do referido Acórdão, nesse sentido, que: </w:t>
      </w:r>
    </w:p>
    <w:p w14:paraId="19F23ACC">
      <w:pPr>
        <w:pStyle w:val="12"/>
      </w:pPr>
      <w:r>
        <w:rPr>
          <w:i/>
          <w:iCs/>
          <w:color w:val="000000"/>
        </w:rPr>
        <w:t>“307.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p>
  </w:comment>
  <w:comment w:id="24" w:author="Autor" w:date="2023-11-14T18:07:00Z" w:initials="">
    <w:p w14:paraId="7CC65AE1">
      <w:pPr>
        <w:widowControl w:val="0"/>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r>
        <w:rPr>
          <w:rFonts w:ascii="Arial" w:hAnsi="Arial" w:eastAsia="Arial" w:cs="Arial"/>
          <w:color w:val="000000"/>
          <w:sz w:val="22"/>
          <w:szCs w:val="22"/>
        </w:rPr>
        <w:t>Nota Explicativa: É recomendável que, além da assinatura do responsável legal do CONTRATANTE e do CONTRATADO, conste a de duas testemunhas para atender o disposto no art. 784, III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p w14:paraId="60996179">
      <w:pPr>
        <w:widowControl w:val="0"/>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r>
        <w:rPr>
          <w:rFonts w:ascii="Arial" w:hAnsi="Arial" w:eastAsia="Arial" w:cs="Arial"/>
          <w:color w:val="000000"/>
          <w:sz w:val="22"/>
          <w:szCs w:val="22"/>
        </w:rPr>
        <w:t>Vide: Nota n. 00013/2021/DECOR/CGU/AGU e respectivos Despachos de Aprovação - NUP 23282.002192/2019-93.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F4258CF" w15:done="0"/>
  <w15:commentEx w15:paraId="7F55B804" w15:done="0"/>
  <w15:commentEx w15:paraId="7E4CC32C" w15:done="0"/>
  <w15:commentEx w15:paraId="7CBA3AA0" w15:done="0"/>
  <w15:commentEx w15:paraId="12A88CDE" w15:done="0"/>
  <w15:commentEx w15:paraId="6730DD30" w15:done="0"/>
  <w15:commentEx w15:paraId="6AEEC6C4" w15:done="0"/>
  <w15:commentEx w15:paraId="3A90288C" w15:done="0"/>
  <w15:commentEx w15:paraId="4770562E" w15:done="0"/>
  <w15:commentEx w15:paraId="3BA6FBF3" w15:done="0"/>
  <w15:commentEx w15:paraId="101C7FEF" w15:done="0"/>
  <w15:commentEx w15:paraId="3064A175" w15:done="0"/>
  <w15:commentEx w15:paraId="6A0F3849" w15:done="0"/>
  <w15:commentEx w15:paraId="7E8BF9B7" w15:done="0"/>
  <w15:commentEx w15:paraId="5AF7EFC5" w15:done="0"/>
  <w15:commentEx w15:paraId="74B63001" w15:done="0"/>
  <w15:commentEx w15:paraId="56E3AC2D" w15:done="0"/>
  <w15:commentEx w15:paraId="775130E2" w15:done="0"/>
  <w15:commentEx w15:paraId="00CD3595" w15:done="0"/>
  <w15:commentEx w15:paraId="5546FE11" w15:done="0"/>
  <w15:commentEx w15:paraId="1F8DC591" w15:done="0"/>
  <w15:commentEx w15:paraId="1CE11B07" w15:done="0"/>
  <w15:commentEx w15:paraId="02D69CBC" w15:done="0"/>
  <w15:commentEx w15:paraId="19F23ACC" w15:done="0"/>
  <w15:commentEx w15:paraId="6099617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Ecofont_Spranq_eco_Sans">
    <w:altName w:val="SimSun"/>
    <w:panose1 w:val="00000000000000000000"/>
    <w:charset w:val="86"/>
    <w:family w:val="swiss"/>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Ecofont_Spranq_eco_Sans">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4D2CF">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rPr>
        <w:rFonts w:ascii="Arial" w:hAnsi="Arial" w:eastAsia="Arial" w:cs="Arial"/>
        <w:color w:val="548DD4"/>
        <w:sz w:val="16"/>
        <w:szCs w:val="16"/>
      </w:rPr>
    </w:pPr>
    <w:r>
      <w:rPr>
        <w:rFonts w:ascii="Arial" w:hAnsi="Arial" w:eastAsia="Arial" w:cs="Arial"/>
        <w:color w:val="548DD4"/>
        <w:sz w:val="22"/>
        <w:szCs w:val="22"/>
      </w:rPr>
      <w:tab/>
    </w:r>
    <w:r>
      <w:rPr>
        <w:rFonts w:ascii="Arial" w:hAnsi="Arial" w:eastAsia="Arial" w:cs="Arial"/>
        <w:color w:val="548DD4"/>
        <w:sz w:val="22"/>
        <w:szCs w:val="22"/>
      </w:rPr>
      <w:tab/>
    </w:r>
  </w:p>
  <w:p w14:paraId="3C97FD6E">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rPr>
        <w:rFonts w:ascii="Arial" w:hAnsi="Arial" w:eastAsia="Arial" w:cs="Arial"/>
        <w:color w:val="7F7F7F"/>
        <w:sz w:val="18"/>
        <w:szCs w:val="18"/>
      </w:rPr>
    </w:pPr>
    <w:r>
      <w:rPr>
        <w:rFonts w:ascii="Arial" w:hAnsi="Arial" w:eastAsia="Arial" w:cs="Arial"/>
        <w:color w:val="7F7F7F"/>
        <w:sz w:val="22"/>
        <w:szCs w:val="22"/>
      </w:rPr>
      <w:tab/>
    </w:r>
    <w:r>
      <w:rPr>
        <w:rFonts w:ascii="Arial" w:hAnsi="Arial" w:eastAsia="Arial" w:cs="Arial"/>
        <w:color w:val="7F7F7F"/>
        <w:sz w:val="22"/>
        <w:szCs w:val="22"/>
      </w:rPr>
      <w:tab/>
    </w:r>
    <w:r>
      <w:rPr>
        <w:rFonts w:ascii="Arial" w:hAnsi="Arial" w:eastAsia="Arial" w:cs="Arial"/>
        <w:color w:val="595959"/>
        <w:sz w:val="18"/>
        <w:szCs w:val="18"/>
      </w:rPr>
      <w:t xml:space="preserve">Página </w:t>
    </w:r>
    <w:r>
      <w:rPr>
        <w:rFonts w:ascii="Arial" w:hAnsi="Arial" w:eastAsia="Arial" w:cs="Arial"/>
        <w:color w:val="595959"/>
        <w:sz w:val="18"/>
        <w:szCs w:val="18"/>
      </w:rPr>
      <w:fldChar w:fldCharType="begin"/>
    </w:r>
    <w:r>
      <w:rPr>
        <w:rFonts w:ascii="Arial" w:hAnsi="Arial" w:eastAsia="Arial" w:cs="Arial"/>
        <w:color w:val="595959"/>
        <w:sz w:val="18"/>
        <w:szCs w:val="18"/>
      </w:rPr>
      <w:instrText xml:space="preserve">PAGE</w:instrText>
    </w:r>
    <w:r>
      <w:rPr>
        <w:rFonts w:ascii="Arial" w:hAnsi="Arial" w:eastAsia="Arial" w:cs="Arial"/>
        <w:color w:val="595959"/>
        <w:sz w:val="18"/>
        <w:szCs w:val="18"/>
      </w:rPr>
      <w:fldChar w:fldCharType="separate"/>
    </w:r>
    <w:r>
      <w:rPr>
        <w:rFonts w:ascii="Arial" w:hAnsi="Arial" w:eastAsia="Arial" w:cs="Arial"/>
        <w:color w:val="595959"/>
        <w:sz w:val="18"/>
        <w:szCs w:val="18"/>
      </w:rPr>
      <w:t>1</w:t>
    </w:r>
    <w:r>
      <w:rPr>
        <w:rFonts w:ascii="Arial" w:hAnsi="Arial" w:eastAsia="Arial" w:cs="Arial"/>
        <w:color w:val="595959"/>
        <w:sz w:val="18"/>
        <w:szCs w:val="18"/>
      </w:rPr>
      <w:fldChar w:fldCharType="end"/>
    </w:r>
    <w:r>
      <w:rPr>
        <w:rFonts w:ascii="Arial" w:hAnsi="Arial" w:eastAsia="Arial" w:cs="Arial"/>
        <w:color w:val="595959"/>
        <w:sz w:val="18"/>
        <w:szCs w:val="18"/>
      </w:rPr>
      <w:t xml:space="preserve"> | </w:t>
    </w:r>
    <w:r>
      <w:rPr>
        <w:rFonts w:ascii="Arial" w:hAnsi="Arial" w:eastAsia="Arial" w:cs="Arial"/>
        <w:color w:val="595959"/>
        <w:sz w:val="18"/>
        <w:szCs w:val="18"/>
      </w:rPr>
      <w:fldChar w:fldCharType="begin"/>
    </w:r>
    <w:r>
      <w:rPr>
        <w:rFonts w:ascii="Arial" w:hAnsi="Arial" w:eastAsia="Arial" w:cs="Arial"/>
        <w:color w:val="595959"/>
        <w:sz w:val="18"/>
        <w:szCs w:val="18"/>
      </w:rPr>
      <w:instrText xml:space="preserve">NUMPAGES</w:instrText>
    </w:r>
    <w:r>
      <w:rPr>
        <w:rFonts w:ascii="Arial" w:hAnsi="Arial" w:eastAsia="Arial" w:cs="Arial"/>
        <w:color w:val="595959"/>
        <w:sz w:val="18"/>
        <w:szCs w:val="18"/>
      </w:rPr>
      <w:fldChar w:fldCharType="separate"/>
    </w:r>
    <w:r>
      <w:rPr>
        <w:rFonts w:ascii="Arial" w:hAnsi="Arial" w:eastAsia="Arial" w:cs="Arial"/>
        <w:color w:val="595959"/>
        <w:sz w:val="18"/>
        <w:szCs w:val="18"/>
      </w:rPr>
      <w:t>2</w:t>
    </w:r>
    <w:r>
      <w:rPr>
        <w:rFonts w:ascii="Arial" w:hAnsi="Arial" w:eastAsia="Arial" w:cs="Arial"/>
        <w:color w:val="595959"/>
        <w:sz w:val="18"/>
        <w:szCs w:val="18"/>
      </w:rPr>
      <w:fldChar w:fldCharType="end"/>
    </w:r>
  </w:p>
  <w:p w14:paraId="23EE969D">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rPr>
        <w:rFonts w:ascii="Arial" w:hAnsi="Arial" w:eastAsia="Arial" w:cs="Arial"/>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42AC9">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b/>
        <w:i/>
        <w:sz w:val="20"/>
        <w:szCs w:val="20"/>
      </w:rPr>
    </w:pPr>
  </w:p>
  <w:tbl>
    <w:tblPr>
      <w:tblStyle w:val="9"/>
      <w:tblpPr w:leftFromText="180" w:rightFromText="180" w:vertAnchor="page" w:horzAnchor="page" w:tblpX="1778" w:tblpY="648"/>
      <w:tblOverlap w:val="never"/>
      <w:tblW w:w="8778" w:type="dxa"/>
      <w:tblInd w:w="0" w:type="dxa"/>
      <w:tblLayout w:type="fixed"/>
      <w:tblCellMar>
        <w:top w:w="0" w:type="dxa"/>
        <w:left w:w="108" w:type="dxa"/>
        <w:bottom w:w="0" w:type="dxa"/>
        <w:right w:w="108" w:type="dxa"/>
      </w:tblCellMar>
    </w:tblPr>
    <w:tblGrid>
      <w:gridCol w:w="7682"/>
      <w:gridCol w:w="236"/>
      <w:gridCol w:w="860"/>
    </w:tblGrid>
    <w:tr w14:paraId="7B5886B8">
      <w:tblPrEx>
        <w:tblCellMar>
          <w:top w:w="0" w:type="dxa"/>
          <w:left w:w="108" w:type="dxa"/>
          <w:bottom w:w="0" w:type="dxa"/>
          <w:right w:w="108" w:type="dxa"/>
        </w:tblCellMar>
      </w:tblPrEx>
      <w:trPr>
        <w:trHeight w:val="795" w:hRule="atLeast"/>
      </w:trPr>
      <w:tc>
        <w:tcPr>
          <w:tcW w:w="7682" w:type="dxa"/>
        </w:tcPr>
        <w:p w14:paraId="13E0604F">
          <w:pPr>
            <w:pStyle w:val="14"/>
            <w:tabs>
              <w:tab w:val="center" w:pos="4080"/>
              <w:tab w:val="clear" w:pos="4252"/>
            </w:tabs>
            <w:ind w:left="0" w:leftChars="0" w:firstLine="0" w:firstLineChars="0"/>
            <w:jc w:val="center"/>
            <w:rPr>
              <w:rFonts w:ascii="Arial" w:hAnsi="Arial" w:cs="Arial"/>
              <w:sz w:val="20"/>
              <w:szCs w:val="20"/>
            </w:rPr>
          </w:pPr>
          <w:r>
            <w:drawing>
              <wp:anchor distT="0" distB="0" distL="0" distR="0" simplePos="0" relativeHeight="251659264" behindDoc="1" locked="0" layoutInCell="1" allowOverlap="1">
                <wp:simplePos x="0" y="0"/>
                <wp:positionH relativeFrom="column">
                  <wp:posOffset>1414145</wp:posOffset>
                </wp:positionH>
                <wp:positionV relativeFrom="paragraph">
                  <wp:posOffset>122555</wp:posOffset>
                </wp:positionV>
                <wp:extent cx="2428875" cy="571500"/>
                <wp:effectExtent l="0" t="0" r="0" b="0"/>
                <wp:wrapNone/>
                <wp:docPr id="8" name="image1.png" descr="brasão"/>
                <wp:cNvGraphicFramePr/>
                <a:graphic xmlns:a="http://schemas.openxmlformats.org/drawingml/2006/main">
                  <a:graphicData uri="http://schemas.openxmlformats.org/drawingml/2006/picture">
                    <pic:pic xmlns:pic="http://schemas.openxmlformats.org/drawingml/2006/picture">
                      <pic:nvPicPr>
                        <pic:cNvPr id="8" name="image1.png" descr="brasão"/>
                        <pic:cNvPicPr preferRelativeResize="0"/>
                      </pic:nvPicPr>
                      <pic:blipFill>
                        <a:blip r:embed="rId1"/>
                        <a:srcRect/>
                        <a:stretch>
                          <a:fillRect/>
                        </a:stretch>
                      </pic:blipFill>
                      <pic:spPr>
                        <a:xfrm>
                          <a:off x="0" y="0"/>
                          <a:ext cx="2428875" cy="571500"/>
                        </a:xfrm>
                        <a:prstGeom prst="rect">
                          <a:avLst/>
                        </a:prstGeom>
                      </pic:spPr>
                    </pic:pic>
                  </a:graphicData>
                </a:graphic>
              </wp:anchor>
            </w:drawing>
          </w:r>
          <w:r>
            <w:rPr>
              <w:rFonts w:hint="default" w:ascii="Arial" w:hAnsi="Arial" w:cs="Arial"/>
              <w:sz w:val="20"/>
              <w:szCs w:val="20"/>
              <w:lang w:val="pt-BR"/>
            </w:rPr>
            <w:t xml:space="preserve">                      </w:t>
          </w:r>
          <w:r>
            <w:rPr>
              <w:rFonts w:ascii="Arial" w:hAnsi="Arial" w:cs="Arial"/>
              <w:sz w:val="20"/>
              <w:szCs w:val="20"/>
            </w:rPr>
            <w:t>TERMO DE CONTRATO ADMINISTRATIVO Nº XX/XXXX</w:t>
          </w:r>
        </w:p>
        <w:p w14:paraId="40FDCF61">
          <w:pPr>
            <w:pStyle w:val="14"/>
            <w:ind w:left="-115"/>
            <w:jc w:val="center"/>
            <w:rPr>
              <w:rFonts w:ascii="Arial" w:hAnsi="Arial" w:cs="Arial"/>
              <w:sz w:val="20"/>
              <w:szCs w:val="20"/>
            </w:rPr>
          </w:pPr>
        </w:p>
        <w:p w14:paraId="0BA456A0">
          <w:pPr>
            <w:pStyle w:val="14"/>
            <w:ind w:left="-115"/>
          </w:pPr>
        </w:p>
      </w:tc>
      <w:tc>
        <w:tcPr>
          <w:tcW w:w="236" w:type="dxa"/>
        </w:tcPr>
        <w:p w14:paraId="1B7E8882">
          <w:pPr>
            <w:pStyle w:val="14"/>
            <w:jc w:val="center"/>
          </w:pPr>
        </w:p>
      </w:tc>
      <w:tc>
        <w:tcPr>
          <w:tcW w:w="860" w:type="dxa"/>
        </w:tcPr>
        <w:p w14:paraId="3749977A">
          <w:pPr>
            <w:pStyle w:val="14"/>
            <w:ind w:right="-115"/>
            <w:jc w:val="right"/>
          </w:pPr>
        </w:p>
      </w:tc>
    </w:tr>
  </w:tbl>
  <w:p w14:paraId="02F50112">
    <w:pPr>
      <w:pStyle w:val="14"/>
    </w:pPr>
  </w:p>
  <w:p w14:paraId="41938EE3"/>
  <w:p w14:paraId="516F939D">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12791"/>
    <w:multiLevelType w:val="multilevel"/>
    <w:tmpl w:val="08112791"/>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
    <w:nsid w:val="318C1207"/>
    <w:multiLevelType w:val="multilevel"/>
    <w:tmpl w:val="318C1207"/>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351E701D"/>
    <w:multiLevelType w:val="multilevel"/>
    <w:tmpl w:val="351E701D"/>
    <w:lvl w:ilvl="0" w:tentative="0">
      <w:start w:val="1"/>
      <w:numFmt w:val="decimal"/>
      <w:lvlText w:val="%1."/>
      <w:lvlJc w:val="left"/>
      <w:pPr>
        <w:ind w:left="360" w:hanging="360"/>
      </w:pPr>
      <w:rPr>
        <w:b/>
        <w:i w:val="0"/>
      </w:rPr>
    </w:lvl>
    <w:lvl w:ilvl="1" w:tentative="0">
      <w:start w:val="1"/>
      <w:numFmt w:val="upperRoman"/>
      <w:lvlText w:val="%2."/>
      <w:lvlJc w:val="right"/>
      <w:pPr>
        <w:ind w:left="360" w:hanging="360"/>
      </w:pPr>
    </w:lvl>
    <w:lvl w:ilvl="2" w:tentative="0">
      <w:start w:val="1"/>
      <w:numFmt w:val="decimal"/>
      <w:lvlText w:val="%1.%2.%3."/>
      <w:lvlJc w:val="left"/>
      <w:pPr>
        <w:ind w:left="1135" w:firstLine="0"/>
      </w:pPr>
      <w:rPr>
        <w:b w:val="0"/>
        <w:i w:val="0"/>
      </w:rPr>
    </w:lvl>
    <w:lvl w:ilvl="3" w:tentative="0">
      <w:start w:val="1"/>
      <w:numFmt w:val="decimal"/>
      <w:lvlText w:val="%1.%2.%3.%4."/>
      <w:lvlJc w:val="left"/>
      <w:pPr>
        <w:ind w:left="851" w:firstLine="0"/>
      </w:pPr>
      <w:rPr>
        <w:b/>
        <w:i w:val="0"/>
      </w:rPr>
    </w:lvl>
    <w:lvl w:ilvl="4" w:tentative="0">
      <w:start w:val="1"/>
      <w:numFmt w:val="decimal"/>
      <w:lvlText w:val="%1.%2.%3.%4.%5."/>
      <w:lvlJc w:val="left"/>
      <w:pPr>
        <w:ind w:left="1134" w:firstLine="0"/>
      </w:pPr>
      <w:rPr>
        <w:b/>
        <w:i w:val="0"/>
      </w:r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38E32E72"/>
    <w:multiLevelType w:val="multilevel"/>
    <w:tmpl w:val="38E32E72"/>
    <w:lvl w:ilvl="0" w:tentative="0">
      <w:start w:val="1"/>
      <w:numFmt w:val="decimal"/>
      <w:lvlText w:val="%1."/>
      <w:lvlJc w:val="left"/>
      <w:pPr>
        <w:ind w:left="360" w:hanging="360"/>
      </w:pPr>
      <w:rPr>
        <w:b/>
      </w:rPr>
    </w:lvl>
    <w:lvl w:ilvl="1" w:tentative="0">
      <w:start w:val="1"/>
      <w:numFmt w:val="decimal"/>
      <w:lvlText w:val="%1.%2."/>
      <w:lvlJc w:val="left"/>
      <w:pPr>
        <w:ind w:left="4969" w:hanging="432"/>
      </w:pPr>
      <w:rPr>
        <w:b w:val="0"/>
        <w:i w:val="0"/>
        <w:strike w:val="0"/>
        <w:color w:val="000000"/>
        <w:sz w:val="20"/>
        <w:szCs w:val="20"/>
        <w:u w:val="none"/>
      </w:rPr>
    </w:lvl>
    <w:lvl w:ilvl="2" w:tentative="0">
      <w:start w:val="1"/>
      <w:numFmt w:val="decimal"/>
      <w:lvlText w:val="%1.%2.%3."/>
      <w:lvlJc w:val="left"/>
      <w:pPr>
        <w:ind w:left="3198" w:hanging="503"/>
      </w:pPr>
      <w:rPr>
        <w:rFonts w:ascii="Arial" w:hAnsi="Arial" w:eastAsia="Arial" w:cs="Arial"/>
        <w:b w:val="0"/>
        <w:i w:val="0"/>
        <w:strike w:val="0"/>
        <w:color w:val="000000"/>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4D6A2631"/>
    <w:multiLevelType w:val="multilevel"/>
    <w:tmpl w:val="4D6A2631"/>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rPr>
        <w:i w:val="0"/>
      </w:r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5">
    <w:nsid w:val="59AF642A"/>
    <w:multiLevelType w:val="multilevel"/>
    <w:tmpl w:val="59AF642A"/>
    <w:lvl w:ilvl="0" w:tentative="0">
      <w:start w:val="1"/>
      <w:numFmt w:val="decimal"/>
      <w:lvlText w:val="%1."/>
      <w:lvlJc w:val="left"/>
      <w:pPr>
        <w:ind w:left="360" w:hanging="360"/>
      </w:pPr>
      <w:rPr>
        <w:b/>
      </w:rPr>
    </w:lvl>
    <w:lvl w:ilvl="1" w:tentative="0">
      <w:start w:val="1"/>
      <w:numFmt w:val="decimal"/>
      <w:lvlText w:val="%1.%2."/>
      <w:lvlJc w:val="left"/>
      <w:pPr>
        <w:ind w:left="4969" w:hanging="432"/>
      </w:pPr>
      <w:rPr>
        <w:rFonts w:hint="default" w:ascii="Arial" w:hAnsi="Arial" w:cs="Arial"/>
        <w:b w:val="0"/>
        <w:i w:val="0"/>
        <w:strike w:val="0"/>
        <w:color w:val="000000"/>
        <w:sz w:val="20"/>
        <w:szCs w:val="20"/>
        <w:u w:val="none"/>
      </w:rPr>
    </w:lvl>
    <w:lvl w:ilvl="2" w:tentative="0">
      <w:start w:val="1"/>
      <w:numFmt w:val="decimal"/>
      <w:lvlText w:val="%1.%2.%3."/>
      <w:lvlJc w:val="left"/>
      <w:pPr>
        <w:ind w:left="3198" w:hanging="503"/>
      </w:pPr>
      <w:rPr>
        <w:rFonts w:ascii="Arial" w:hAnsi="Arial" w:eastAsia="Arial" w:cs="Arial"/>
        <w:b w:val="0"/>
        <w:i w:val="0"/>
        <w:strike w:val="0"/>
        <w:color w:val="000000"/>
        <w:sz w:val="20"/>
        <w:szCs w:val="20"/>
      </w:rPr>
    </w:lvl>
    <w:lvl w:ilvl="3" w:tentative="0">
      <w:start w:val="1"/>
      <w:numFmt w:val="decimal"/>
      <w:lvlText w:val="%1.%2.%3.%4."/>
      <w:lvlJc w:val="left"/>
      <w:pPr>
        <w:ind w:left="2491" w:hanging="648"/>
      </w:pPr>
      <w:rPr>
        <w:rFonts w:hint="default" w:ascii="Arial" w:hAnsi="Arial" w:cs="Arial"/>
        <w:sz w:val="20"/>
        <w:szCs w:val="20"/>
      </w:r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61FB325C"/>
    <w:multiLevelType w:val="multilevel"/>
    <w:tmpl w:val="61FB325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0"/>
  </w:num>
  <w:num w:numId="6">
    <w:abstractNumId w:val="6"/>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F26572"/>
    <w:rsid w:val="00093F66"/>
    <w:rsid w:val="00112957"/>
    <w:rsid w:val="00132FD0"/>
    <w:rsid w:val="002213AC"/>
    <w:rsid w:val="003850B5"/>
    <w:rsid w:val="00503EE4"/>
    <w:rsid w:val="00634B0B"/>
    <w:rsid w:val="006E0A59"/>
    <w:rsid w:val="00742FB5"/>
    <w:rsid w:val="00854F49"/>
    <w:rsid w:val="0087721E"/>
    <w:rsid w:val="00885AB4"/>
    <w:rsid w:val="008B3896"/>
    <w:rsid w:val="008E40B8"/>
    <w:rsid w:val="009B2E1E"/>
    <w:rsid w:val="00AB23C2"/>
    <w:rsid w:val="00B40D50"/>
    <w:rsid w:val="00C132A4"/>
    <w:rsid w:val="00D45FA4"/>
    <w:rsid w:val="00DC713D"/>
    <w:rsid w:val="00E77218"/>
    <w:rsid w:val="00E87105"/>
    <w:rsid w:val="00E9589F"/>
    <w:rsid w:val="00ED481E"/>
    <w:rsid w:val="00F90E9F"/>
    <w:rsid w:val="2FF2657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Ecofont_Spranq_eco_Sans" w:hAnsi="Ecofont_Spranq_eco_Sans" w:eastAsia="Ecofont_Spranq_eco_Sans" w:cs="Ecofont_Spranq_eco_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Ecofont_Spranq_eco_Sans" w:hAnsi="Ecofont_Spranq_eco_Sans" w:eastAsia="Ecofont_Spranq_eco_Sans" w:cs="Ecofont_Spranq_eco_Sans"/>
      <w:sz w:val="24"/>
      <w:szCs w:val="24"/>
      <w:lang w:val="pt-BR" w:eastAsia="pt-BR" w:bidi="ar-SA"/>
    </w:rPr>
  </w:style>
  <w:style w:type="paragraph" w:styleId="2">
    <w:name w:val="heading 1"/>
    <w:basedOn w:val="1"/>
    <w:next w:val="1"/>
    <w:qFormat/>
    <w:uiPriority w:val="9"/>
    <w:pPr>
      <w:keepNext/>
      <w:keepLines/>
      <w:spacing w:before="480"/>
      <w:outlineLvl w:val="0"/>
    </w:pPr>
    <w:rPr>
      <w:rFonts w:ascii="Calibri" w:hAnsi="Calibri" w:eastAsia="Calibri" w:cs="Calibri"/>
      <w:b/>
      <w:color w:val="366091"/>
      <w:sz w:val="28"/>
      <w:szCs w:val="28"/>
    </w:rPr>
  </w:style>
  <w:style w:type="paragraph" w:styleId="3">
    <w:name w:val="heading 2"/>
    <w:basedOn w:val="1"/>
    <w:next w:val="1"/>
    <w:semiHidden/>
    <w:unhideWhenUsed/>
    <w:qFormat/>
    <w:uiPriority w:val="9"/>
    <w:pPr>
      <w:keepNext/>
      <w:tabs>
        <w:tab w:val="left" w:pos="1701"/>
      </w:tabs>
      <w:jc w:val="center"/>
      <w:outlineLvl w:val="1"/>
    </w:pPr>
    <w:rPr>
      <w:rFonts w:ascii="Times New Roman" w:hAnsi="Times New Roman" w:eastAsia="Times New Roman" w:cs="Times New Roman"/>
      <w:b/>
      <w:color w:val="000000"/>
    </w:rPr>
  </w:style>
  <w:style w:type="paragraph" w:styleId="4">
    <w:name w:val="heading 3"/>
    <w:basedOn w:val="1"/>
    <w:next w:val="1"/>
    <w:semiHidden/>
    <w:unhideWhenUsed/>
    <w:qFormat/>
    <w:uiPriority w:val="9"/>
    <w:pPr>
      <w:keepNext/>
      <w:keepLines/>
      <w:spacing w:before="40" w:line="259" w:lineRule="auto"/>
      <w:outlineLvl w:val="2"/>
    </w:pPr>
    <w:rPr>
      <w:rFonts w:ascii="Calibri" w:hAnsi="Calibri" w:eastAsia="Calibri" w:cs="Calibri"/>
      <w:color w:val="243F61"/>
    </w:rPr>
  </w:style>
  <w:style w:type="paragraph" w:styleId="5">
    <w:name w:val="heading 4"/>
    <w:basedOn w:val="1"/>
    <w:next w:val="1"/>
    <w:semiHidden/>
    <w:unhideWhenUsed/>
    <w:qFormat/>
    <w:uiPriority w:val="9"/>
    <w:pPr>
      <w:keepNext/>
      <w:keepLines/>
      <w:spacing w:before="40"/>
      <w:outlineLvl w:val="3"/>
    </w:pPr>
    <w:rPr>
      <w:rFonts w:ascii="Calibri" w:hAnsi="Calibri" w:eastAsia="Calibri" w:cs="Calibri"/>
      <w:i/>
      <w:color w:val="366091"/>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40" w:line="259" w:lineRule="auto"/>
      <w:outlineLvl w:val="5"/>
    </w:pPr>
    <w:rPr>
      <w:rFonts w:ascii="Calibri" w:hAnsi="Calibri" w:eastAsia="Calibri" w:cs="Calibri"/>
      <w:color w:val="243F61"/>
      <w:sz w:val="22"/>
      <w:szCs w:val="22"/>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annotation reference"/>
    <w:basedOn w:val="8"/>
    <w:semiHidden/>
    <w:unhideWhenUsed/>
    <w:uiPriority w:val="99"/>
    <w:rPr>
      <w:sz w:val="16"/>
      <w:szCs w:val="16"/>
    </w:rPr>
  </w:style>
  <w:style w:type="character" w:styleId="11">
    <w:name w:val="Hyperlink"/>
    <w:qFormat/>
    <w:uiPriority w:val="0"/>
    <w:rPr>
      <w:color w:val="000080"/>
      <w:u w:val="single"/>
    </w:rPr>
  </w:style>
  <w:style w:type="paragraph" w:styleId="12">
    <w:name w:val="annotation text"/>
    <w:basedOn w:val="1"/>
    <w:link w:val="20"/>
    <w:unhideWhenUsed/>
    <w:uiPriority w:val="99"/>
    <w:rPr>
      <w:sz w:val="20"/>
      <w:szCs w:val="20"/>
    </w:rPr>
  </w:style>
  <w:style w:type="paragraph" w:styleId="13">
    <w:name w:val="Title"/>
    <w:basedOn w:val="1"/>
    <w:next w:val="1"/>
    <w:qFormat/>
    <w:uiPriority w:val="10"/>
    <w:pPr>
      <w:pBdr>
        <w:bottom w:val="single" w:color="4F81BD" w:sz="8" w:space="4"/>
      </w:pBdr>
      <w:spacing w:after="300"/>
    </w:pPr>
    <w:rPr>
      <w:rFonts w:ascii="Calibri" w:hAnsi="Calibri" w:eastAsia="Calibri" w:cs="Calibri"/>
      <w:color w:val="17365D"/>
      <w:sz w:val="52"/>
      <w:szCs w:val="52"/>
    </w:rPr>
  </w:style>
  <w:style w:type="paragraph" w:styleId="14">
    <w:name w:val="header"/>
    <w:basedOn w:val="1"/>
    <w:link w:val="26"/>
    <w:unhideWhenUsed/>
    <w:uiPriority w:val="99"/>
    <w:pPr>
      <w:tabs>
        <w:tab w:val="center" w:pos="4252"/>
        <w:tab w:val="right" w:pos="8504"/>
      </w:tabs>
    </w:pPr>
  </w:style>
  <w:style w:type="paragraph" w:styleId="15">
    <w:name w:val="footer"/>
    <w:basedOn w:val="1"/>
    <w:link w:val="27"/>
    <w:unhideWhenUsed/>
    <w:uiPriority w:val="99"/>
    <w:pPr>
      <w:tabs>
        <w:tab w:val="center" w:pos="4252"/>
        <w:tab w:val="right" w:pos="8504"/>
      </w:tabs>
    </w:pPr>
  </w:style>
  <w:style w:type="paragraph" w:styleId="16">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customStyle="1" w:styleId="17">
    <w:name w:val="Table Normal"/>
    <w:uiPriority w:val="0"/>
    <w:tblPr>
      <w:tblCellMar>
        <w:top w:w="0" w:type="dxa"/>
        <w:left w:w="0" w:type="dxa"/>
        <w:bottom w:w="0" w:type="dxa"/>
        <w:right w:w="0" w:type="dxa"/>
      </w:tblCellMar>
    </w:tblPr>
  </w:style>
  <w:style w:type="table" w:customStyle="1" w:styleId="18">
    <w:name w:val="_Style 12"/>
    <w:basedOn w:val="17"/>
    <w:uiPriority w:val="0"/>
    <w:tblPr>
      <w:tblCellMar>
        <w:left w:w="115" w:type="dxa"/>
        <w:right w:w="115" w:type="dxa"/>
      </w:tblCellMar>
    </w:tblPr>
  </w:style>
  <w:style w:type="table" w:customStyle="1" w:styleId="19">
    <w:name w:val="_Style 13"/>
    <w:basedOn w:val="17"/>
    <w:uiPriority w:val="0"/>
    <w:tblPr>
      <w:tblCellMar>
        <w:left w:w="115" w:type="dxa"/>
        <w:right w:w="115" w:type="dxa"/>
      </w:tblCellMar>
    </w:tblPr>
  </w:style>
  <w:style w:type="character" w:customStyle="1" w:styleId="20">
    <w:name w:val="Texto de comentário Char"/>
    <w:basedOn w:val="8"/>
    <w:link w:val="12"/>
    <w:uiPriority w:val="99"/>
    <w:rPr>
      <w:sz w:val="20"/>
      <w:szCs w:val="20"/>
    </w:rPr>
  </w:style>
  <w:style w:type="paragraph" w:styleId="21">
    <w:name w:val="List Paragraph"/>
    <w:basedOn w:val="1"/>
    <w:qFormat/>
    <w:uiPriority w:val="34"/>
    <w:pPr>
      <w:ind w:left="720"/>
      <w:contextualSpacing/>
    </w:pPr>
  </w:style>
  <w:style w:type="paragraph" w:customStyle="1" w:styleId="22">
    <w:name w:val="Nivel 2"/>
    <w:basedOn w:val="1"/>
    <w:link w:val="23"/>
    <w:qFormat/>
    <w:uiPriority w:val="0"/>
    <w:pPr>
      <w:spacing w:before="120" w:after="120" w:line="276" w:lineRule="auto"/>
      <w:jc w:val="both"/>
    </w:pPr>
    <w:rPr>
      <w:rFonts w:ascii="Arial" w:hAnsi="Arial" w:cs="Arial" w:eastAsiaTheme="minorEastAsia"/>
      <w:color w:val="000000"/>
      <w:sz w:val="20"/>
      <w:szCs w:val="20"/>
    </w:rPr>
  </w:style>
  <w:style w:type="character" w:customStyle="1" w:styleId="23">
    <w:name w:val="Nivel 2 Char"/>
    <w:basedOn w:val="8"/>
    <w:link w:val="22"/>
    <w:locked/>
    <w:uiPriority w:val="0"/>
    <w:rPr>
      <w:rFonts w:ascii="Arial" w:hAnsi="Arial" w:cs="Arial" w:eastAsiaTheme="minorEastAsia"/>
      <w:color w:val="000000"/>
      <w:sz w:val="20"/>
      <w:szCs w:val="20"/>
    </w:rPr>
  </w:style>
  <w:style w:type="paragraph" w:customStyle="1" w:styleId="24">
    <w:name w:val="Nível 2 -Red"/>
    <w:basedOn w:val="22"/>
    <w:link w:val="25"/>
    <w:qFormat/>
    <w:uiPriority w:val="0"/>
    <w:rPr>
      <w:i/>
      <w:iCs/>
      <w:color w:val="FF0000"/>
    </w:rPr>
  </w:style>
  <w:style w:type="character" w:customStyle="1" w:styleId="25">
    <w:name w:val="Nível 2 -Red Char"/>
    <w:basedOn w:val="23"/>
    <w:link w:val="24"/>
    <w:uiPriority w:val="0"/>
    <w:rPr>
      <w:rFonts w:ascii="Arial" w:hAnsi="Arial" w:cs="Arial" w:eastAsiaTheme="minorEastAsia"/>
      <w:i/>
      <w:iCs/>
      <w:color w:val="FF0000"/>
      <w:sz w:val="20"/>
      <w:szCs w:val="20"/>
    </w:rPr>
  </w:style>
  <w:style w:type="character" w:customStyle="1" w:styleId="26">
    <w:name w:val="Cabeçalho Char"/>
    <w:basedOn w:val="8"/>
    <w:link w:val="14"/>
    <w:uiPriority w:val="99"/>
  </w:style>
  <w:style w:type="character" w:customStyle="1" w:styleId="27">
    <w:name w:val="Rodapé Char"/>
    <w:basedOn w:val="8"/>
    <w:link w:val="15"/>
    <w:uiPriority w:val="99"/>
  </w:style>
  <w:style w:type="paragraph" w:customStyle="1" w:styleId="28">
    <w:name w:val="Preâmbulo"/>
    <w:basedOn w:val="1"/>
    <w:qFormat/>
    <w:uiPriority w:val="0"/>
    <w:pPr>
      <w:spacing w:before="480" w:after="120" w:line="360" w:lineRule="auto"/>
      <w:ind w:left="4253" w:right="-17"/>
      <w:jc w:val="both"/>
    </w:pPr>
    <w:rPr>
      <w:rFonts w:ascii="Arial" w:hAnsi="Arial" w:eastAsia="Arial" w:cs="Arial"/>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essias\Downloads\modelo_contrato_capacitacao_lei_14-122_dez-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modelo_contrato_capacitacao_lei_14-122_dez-23.docx</Template>
  <Pages>10</Pages>
  <Words>269</Words>
  <Characters>1910</Characters>
  <Lines>229</Lines>
  <Paragraphs>65</Paragraphs>
  <TotalTime>2</TotalTime>
  <ScaleCrop>false</ScaleCrop>
  <LinksUpToDate>false</LinksUpToDate>
  <CharactersWithSpaces>2161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2025-03-12T13:08:00Z</dcterms:created>
  <dc:creator>ana.messias</dc:creator>
  <cp:lastModifiedBy>ana.messias</cp:lastModifiedBy>
  <dcterms:modified xsi:type="dcterms:W3CDTF">2025-03-12T13:16:45Z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50D4BC067FB343B6AF8A46A8630EB68E_11</vt:lpwstr>
  </property>
  <property fmtid="{D5CDD505-2E9C-101B-9397-08002B2CF9AE}" pid="3" name="KSOProductBuildVer">
    <vt:lpwstr>1046-12.2.0.19805</vt:lpwstr>
  </property>
</Properties>
</file>